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397" w14:textId="3CE118E5" w:rsidR="001F3B7F" w:rsidRPr="00200EC2" w:rsidRDefault="00DD4916" w:rsidP="00086498">
      <w:pPr>
        <w:pStyle w:val="Heading1"/>
        <w:rPr>
          <w:rFonts w:ascii="Arial" w:hAnsi="Arial"/>
          <w:sz w:val="22"/>
          <w:szCs w:val="22"/>
        </w:rPr>
        <w:sectPr w:rsidR="001F3B7F" w:rsidRPr="00200EC2" w:rsidSect="00A07144">
          <w:headerReference w:type="default" r:id="rId8"/>
          <w:footerReference w:type="default" r:id="rId9"/>
          <w:pgSz w:w="11906" w:h="16838"/>
          <w:pgMar w:top="1588" w:right="1440" w:bottom="2268" w:left="1440" w:header="0" w:footer="725" w:gutter="0"/>
          <w:cols w:space="708"/>
          <w:docGrid w:linePitch="360"/>
        </w:sectPr>
      </w:pPr>
      <w:r>
        <w:rPr>
          <w:noProof/>
          <w:lang w:eastAsia="en-AU"/>
        </w:rPr>
        <w:drawing>
          <wp:anchor distT="0" distB="0" distL="114300" distR="114300" simplePos="0" relativeHeight="251663360" behindDoc="0" locked="0" layoutInCell="1" allowOverlap="1" wp14:anchorId="2284E761" wp14:editId="5FAD4276">
            <wp:simplePos x="0" y="0"/>
            <wp:positionH relativeFrom="column">
              <wp:posOffset>3943350</wp:posOffset>
            </wp:positionH>
            <wp:positionV relativeFrom="paragraph">
              <wp:posOffset>210820</wp:posOffset>
            </wp:positionV>
            <wp:extent cx="1905000" cy="1381760"/>
            <wp:effectExtent l="0" t="0" r="0" b="8890"/>
            <wp:wrapSquare wrapText="bothSides"/>
            <wp:docPr id="2" name="Picture 2" descr="Sitting down on the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down on the jo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36F" w:rsidRPr="00200EC2">
        <w:rPr>
          <w:rFonts w:ascii="Verdana" w:hAnsi="Verdana"/>
          <w:noProof/>
          <w:color w:val="333333"/>
          <w:sz w:val="22"/>
          <w:szCs w:val="22"/>
          <w:lang w:eastAsia="en-AU"/>
        </w:rPr>
        <w:drawing>
          <wp:anchor distT="0" distB="0" distL="114300" distR="114300" simplePos="0" relativeHeight="251661312" behindDoc="0" locked="0" layoutInCell="1" allowOverlap="1" wp14:anchorId="1DB6C0C4" wp14:editId="65D5E2A3">
            <wp:simplePos x="0" y="0"/>
            <wp:positionH relativeFrom="column">
              <wp:posOffset>3943350</wp:posOffset>
            </wp:positionH>
            <wp:positionV relativeFrom="paragraph">
              <wp:posOffset>210820</wp:posOffset>
            </wp:positionV>
            <wp:extent cx="1831340" cy="1393825"/>
            <wp:effectExtent l="0" t="0" r="0" b="0"/>
            <wp:wrapSquare wrapText="bothSides"/>
            <wp:docPr id="4" name="Picture 4" descr="Generation Ga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tion Gap screen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340" cy="1393825"/>
                    </a:xfrm>
                    <a:prstGeom prst="rect">
                      <a:avLst/>
                    </a:prstGeom>
                    <a:noFill/>
                    <a:ln>
                      <a:noFill/>
                    </a:ln>
                  </pic:spPr>
                </pic:pic>
              </a:graphicData>
            </a:graphic>
          </wp:anchor>
        </w:drawing>
      </w:r>
      <w:r w:rsidR="00D755D2" w:rsidRPr="00200EC2">
        <w:rPr>
          <w:rFonts w:ascii="Arial" w:hAnsi="Arial"/>
          <w:sz w:val="22"/>
          <w:szCs w:val="22"/>
        </w:rPr>
        <w:t>Equal Opportunity Training Video</w:t>
      </w:r>
      <w:r w:rsidR="000D1E70" w:rsidRPr="00200EC2">
        <w:rPr>
          <w:rFonts w:ascii="Arial" w:hAnsi="Arial"/>
          <w:sz w:val="22"/>
          <w:szCs w:val="22"/>
        </w:rPr>
        <w:t xml:space="preserve">             </w:t>
      </w:r>
    </w:p>
    <w:p w14:paraId="22F08A1B" w14:textId="7687650C" w:rsidR="00D755D2" w:rsidRPr="00D755D2" w:rsidRDefault="00086498" w:rsidP="00D755D2">
      <w:pPr>
        <w:pStyle w:val="Heading2"/>
      </w:pPr>
      <w:r>
        <w:t>Notes for training</w:t>
      </w:r>
    </w:p>
    <w:p w14:paraId="0E16F781" w14:textId="519C3603" w:rsidR="001167C5" w:rsidRPr="007F574A" w:rsidRDefault="001167C5" w:rsidP="001167C5">
      <w:pPr>
        <w:ind w:left="1695" w:hanging="1695"/>
        <w:rPr>
          <w:rFonts w:cs="Arial"/>
          <w:sz w:val="22"/>
        </w:rPr>
      </w:pPr>
    </w:p>
    <w:tbl>
      <w:tblPr>
        <w:tblpPr w:leftFromText="180" w:rightFromText="180" w:horzAnchor="margin" w:tblpXSpec="center" w:tblpY="-540"/>
        <w:tblW w:w="10173" w:type="dxa"/>
        <w:tblLayout w:type="fixed"/>
        <w:tblLook w:val="0000" w:firstRow="0" w:lastRow="0" w:firstColumn="0" w:lastColumn="0" w:noHBand="0" w:noVBand="0"/>
      </w:tblPr>
      <w:tblGrid>
        <w:gridCol w:w="7196"/>
        <w:gridCol w:w="2977"/>
      </w:tblGrid>
      <w:tr w:rsidR="005C536F" w14:paraId="5656D60F" w14:textId="77777777" w:rsidTr="00B130CD">
        <w:tc>
          <w:tcPr>
            <w:tcW w:w="7196" w:type="dxa"/>
          </w:tcPr>
          <w:p w14:paraId="5A49404C" w14:textId="77777777" w:rsidR="005C536F" w:rsidRDefault="005C536F" w:rsidP="005C536F">
            <w:pPr>
              <w:spacing w:before="120" w:after="240"/>
              <w:rPr>
                <w:rFonts w:cs="Arial"/>
                <w:b/>
                <w:color w:val="333399"/>
              </w:rPr>
            </w:pPr>
          </w:p>
        </w:tc>
        <w:tc>
          <w:tcPr>
            <w:tcW w:w="2977" w:type="dxa"/>
          </w:tcPr>
          <w:p w14:paraId="47348252" w14:textId="01842126" w:rsidR="005C536F" w:rsidRDefault="005C536F" w:rsidP="00B130CD">
            <w:pPr>
              <w:rPr>
                <w:rFonts w:ascii="Verdana" w:hAnsi="Verdana"/>
                <w:color w:val="333333"/>
                <w:sz w:val="17"/>
                <w:szCs w:val="17"/>
              </w:rPr>
            </w:pPr>
          </w:p>
          <w:p w14:paraId="44784E0B" w14:textId="45F07959" w:rsidR="005C536F" w:rsidRDefault="005C536F" w:rsidP="00B130CD"/>
        </w:tc>
      </w:tr>
    </w:tbl>
    <w:p w14:paraId="014CD4A1" w14:textId="77777777" w:rsidR="00DD4916" w:rsidRDefault="00DD4916" w:rsidP="00DD4916">
      <w:pPr>
        <w:rPr>
          <w:rFonts w:cs="Arial"/>
        </w:rPr>
      </w:pPr>
      <w:r>
        <w:rPr>
          <w:rStyle w:val="Strong"/>
          <w:rFonts w:cs="Arial"/>
          <w:color w:val="000000"/>
        </w:rPr>
        <w:t>Key personalities in this scene are:</w:t>
      </w:r>
      <w:r>
        <w:rPr>
          <w:b/>
          <w:bCs/>
        </w:rPr>
        <w:br/>
      </w:r>
      <w:r>
        <w:rPr>
          <w:rStyle w:val="Strong"/>
          <w:rFonts w:cs="Arial"/>
          <w:color w:val="333333"/>
        </w:rPr>
        <w:t>- </w:t>
      </w:r>
      <w:r>
        <w:rPr>
          <w:rFonts w:cs="Arial"/>
        </w:rPr>
        <w:t xml:space="preserve">Les, manager </w:t>
      </w:r>
      <w:r>
        <w:rPr>
          <w:rFonts w:cs="Arial"/>
        </w:rPr>
        <w:br/>
        <w:t xml:space="preserve">- Sandy, secretary with some human resource responsibilities </w:t>
      </w:r>
      <w:r>
        <w:rPr>
          <w:rFonts w:cs="Arial"/>
        </w:rPr>
        <w:br/>
        <w:t>- Roger, the injured employee</w:t>
      </w:r>
    </w:p>
    <w:p w14:paraId="5996EEEB" w14:textId="7744BD65" w:rsidR="00DD4916" w:rsidRDefault="00DD4916" w:rsidP="00DD4916">
      <w:pPr>
        <w:jc w:val="center"/>
        <w:rPr>
          <w:rFonts w:cs="Arial"/>
        </w:rPr>
      </w:pPr>
      <w:r>
        <w:rPr>
          <w:rFonts w:cs="Arial"/>
          <w:b/>
          <w:color w:val="1F497D" w:themeColor="text2"/>
          <w:sz w:val="36"/>
          <w:szCs w:val="36"/>
        </w:rPr>
        <w:t xml:space="preserve">                                                          </w:t>
      </w:r>
      <w:r>
        <w:rPr>
          <w:rFonts w:cs="Arial"/>
          <w:b/>
          <w:color w:val="1F497D" w:themeColor="text2"/>
          <w:sz w:val="36"/>
          <w:szCs w:val="36"/>
        </w:rPr>
        <w:t>Sitting Down</w:t>
      </w:r>
    </w:p>
    <w:p w14:paraId="3756C8CE" w14:textId="7B85D4BD" w:rsidR="00DD4916" w:rsidRDefault="00DD4916" w:rsidP="00DD4916">
      <w:pPr>
        <w:rPr>
          <w:rFonts w:cs="Arial"/>
          <w:color w:val="auto"/>
        </w:rPr>
      </w:pPr>
      <w:r>
        <w:rPr>
          <w:rFonts w:cs="Arial"/>
        </w:rPr>
        <w:t>A scene in two parts enabling an exploration of disability discrimination, internal complaint process and the Equal Opportunity Commission’s complaint handling process, and the links between occupational health and safely and equal opportunity laws.</w:t>
      </w:r>
    </w:p>
    <w:p w14:paraId="2322CAEC" w14:textId="77777777" w:rsidR="00DD4916" w:rsidRDefault="00DD4916" w:rsidP="005C536F">
      <w:pPr>
        <w:rPr>
          <w:rFonts w:cs="Arial"/>
          <w:sz w:val="22"/>
        </w:rPr>
      </w:pPr>
    </w:p>
    <w:p w14:paraId="09908168" w14:textId="39E9F20D" w:rsidR="005C536F" w:rsidRPr="00200EC2" w:rsidRDefault="00200EC2" w:rsidP="005C536F">
      <w:pPr>
        <w:rPr>
          <w:rFonts w:cs="Arial"/>
          <w:b/>
          <w:color w:val="333399"/>
          <w:sz w:val="22"/>
        </w:rPr>
      </w:pPr>
      <w:r w:rsidRPr="00200EC2">
        <w:rPr>
          <w:rFonts w:cs="Arial"/>
          <w:b/>
          <w:color w:val="333399"/>
          <w:sz w:val="22"/>
        </w:rPr>
        <w:t>Questions:</w:t>
      </w:r>
    </w:p>
    <w:p w14:paraId="07C13399" w14:textId="77777777" w:rsidR="005C536F" w:rsidRPr="00200EC2" w:rsidRDefault="005C536F" w:rsidP="005C536F">
      <w:pPr>
        <w:rPr>
          <w:rFonts w:cs="Arial"/>
          <w:b/>
          <w:color w:val="333399"/>
          <w:sz w:val="22"/>
          <w:u w:val="single"/>
        </w:rPr>
      </w:pPr>
    </w:p>
    <w:p w14:paraId="07EDF13C" w14:textId="047D8C74" w:rsidR="005C536F" w:rsidRPr="00DD4916" w:rsidRDefault="005C536F" w:rsidP="005C536F">
      <w:pPr>
        <w:rPr>
          <w:rFonts w:cs="Arial"/>
          <w:sz w:val="22"/>
        </w:rPr>
      </w:pPr>
      <w:r w:rsidRPr="00DD4916">
        <w:rPr>
          <w:rFonts w:cs="Arial"/>
          <w:b/>
          <w:sz w:val="22"/>
        </w:rPr>
        <w:t>Question 1:</w:t>
      </w:r>
      <w:r w:rsidRPr="00DD4916">
        <w:rPr>
          <w:rFonts w:cs="Arial"/>
          <w:sz w:val="22"/>
        </w:rPr>
        <w:t xml:space="preserve"> </w:t>
      </w:r>
      <w:r w:rsidR="00DD4916" w:rsidRPr="00DD4916">
        <w:rPr>
          <w:rFonts w:cs="Arial"/>
          <w:sz w:val="22"/>
        </w:rPr>
        <w:t>How would EO laws impact on what you’ve just seen?</w:t>
      </w:r>
    </w:p>
    <w:p w14:paraId="6ADB6C87" w14:textId="77777777" w:rsidR="00DD4916" w:rsidRDefault="00DD4916" w:rsidP="005C536F">
      <w:pPr>
        <w:rPr>
          <w:rFonts w:cs="Arial"/>
          <w:b/>
          <w:sz w:val="22"/>
        </w:rPr>
      </w:pPr>
    </w:p>
    <w:p w14:paraId="3A23A0B1" w14:textId="6DDCAE8D" w:rsidR="00200EC2" w:rsidRPr="00DD4916" w:rsidRDefault="00200EC2" w:rsidP="005C536F">
      <w:pPr>
        <w:rPr>
          <w:rFonts w:cs="Arial"/>
          <w:sz w:val="22"/>
        </w:rPr>
      </w:pPr>
      <w:r w:rsidRPr="00DD4916">
        <w:rPr>
          <w:rFonts w:cs="Arial"/>
          <w:b/>
          <w:sz w:val="22"/>
        </w:rPr>
        <w:t>Question 2:</w:t>
      </w:r>
      <w:r w:rsidR="005C536F" w:rsidRPr="00DD4916">
        <w:rPr>
          <w:rFonts w:cs="Arial"/>
          <w:sz w:val="22"/>
        </w:rPr>
        <w:t xml:space="preserve"> </w:t>
      </w:r>
      <w:r w:rsidR="00DD4916" w:rsidRPr="00DD4916">
        <w:rPr>
          <w:rFonts w:cs="Arial"/>
          <w:sz w:val="22"/>
        </w:rPr>
        <w:t>Roger says ‘if his request is not met, he will complain ‘outside’ and let ‘them’ decide what’s reasonable’.  If that means he would complaint to the EOC, would they determine what’s reasonable?</w:t>
      </w:r>
    </w:p>
    <w:p w14:paraId="18A31A9D" w14:textId="77777777" w:rsidR="00DD4916" w:rsidRDefault="00DD4916" w:rsidP="005C536F">
      <w:pPr>
        <w:rPr>
          <w:rFonts w:cs="Arial"/>
          <w:b/>
          <w:sz w:val="22"/>
        </w:rPr>
      </w:pPr>
    </w:p>
    <w:p w14:paraId="697D002F" w14:textId="46213F13" w:rsidR="005C536F" w:rsidRPr="00DD4916" w:rsidRDefault="005C536F" w:rsidP="005C536F">
      <w:pPr>
        <w:rPr>
          <w:rFonts w:cs="Arial"/>
          <w:sz w:val="22"/>
        </w:rPr>
      </w:pPr>
      <w:r w:rsidRPr="00DD4916">
        <w:rPr>
          <w:rFonts w:cs="Arial"/>
          <w:b/>
          <w:sz w:val="22"/>
        </w:rPr>
        <w:t>Question 3:</w:t>
      </w:r>
      <w:r w:rsidRPr="00DD4916">
        <w:rPr>
          <w:rFonts w:cs="Arial"/>
          <w:sz w:val="22"/>
        </w:rPr>
        <w:t xml:space="preserve"> </w:t>
      </w:r>
      <w:r w:rsidR="00DD4916" w:rsidRPr="00DD4916">
        <w:rPr>
          <w:rFonts w:cs="Arial"/>
          <w:sz w:val="22"/>
        </w:rPr>
        <w:t>What rights does Roger have in this situation?</w:t>
      </w:r>
    </w:p>
    <w:p w14:paraId="4440BF2B" w14:textId="77777777" w:rsidR="00DD4916" w:rsidRDefault="00DD4916" w:rsidP="005C536F">
      <w:pPr>
        <w:rPr>
          <w:rFonts w:cs="Arial"/>
          <w:b/>
          <w:sz w:val="22"/>
        </w:rPr>
      </w:pPr>
    </w:p>
    <w:p w14:paraId="7B7CEB34" w14:textId="5F81FBBB" w:rsidR="005C536F" w:rsidRPr="00DD4916" w:rsidRDefault="005C536F" w:rsidP="005C536F">
      <w:pPr>
        <w:rPr>
          <w:rFonts w:cs="Arial"/>
          <w:color w:val="auto"/>
          <w:sz w:val="22"/>
        </w:rPr>
      </w:pPr>
      <w:r w:rsidRPr="00DD4916">
        <w:rPr>
          <w:rFonts w:cs="Arial"/>
          <w:b/>
          <w:sz w:val="22"/>
        </w:rPr>
        <w:t>Question 4:</w:t>
      </w:r>
      <w:r w:rsidRPr="00DD4916">
        <w:rPr>
          <w:rFonts w:cs="Arial"/>
          <w:sz w:val="22"/>
        </w:rPr>
        <w:t xml:space="preserve"> </w:t>
      </w:r>
      <w:r w:rsidR="00DD4916" w:rsidRPr="00DD4916">
        <w:rPr>
          <w:rFonts w:cs="Arial"/>
          <w:sz w:val="22"/>
        </w:rPr>
        <w:t>What difference would it make to any rights Roger might have if his injury was not caused at work?</w:t>
      </w:r>
    </w:p>
    <w:p w14:paraId="02582BD2" w14:textId="77777777" w:rsidR="005C536F" w:rsidRPr="00DD4916" w:rsidRDefault="005C536F" w:rsidP="005C536F">
      <w:pPr>
        <w:rPr>
          <w:rFonts w:cs="Arial"/>
          <w:sz w:val="22"/>
        </w:rPr>
      </w:pPr>
    </w:p>
    <w:p w14:paraId="0C6294F3" w14:textId="3332B581" w:rsidR="005C536F" w:rsidRDefault="005C536F" w:rsidP="005C536F">
      <w:pPr>
        <w:rPr>
          <w:rFonts w:cs="Arial"/>
          <w:color w:val="auto"/>
          <w:sz w:val="22"/>
        </w:rPr>
      </w:pPr>
      <w:r w:rsidRPr="00DD4916">
        <w:rPr>
          <w:rFonts w:cs="Arial"/>
          <w:b/>
          <w:sz w:val="22"/>
        </w:rPr>
        <w:t>Question 5:</w:t>
      </w:r>
      <w:r w:rsidRPr="00DD4916">
        <w:rPr>
          <w:rFonts w:cs="Arial"/>
          <w:sz w:val="22"/>
        </w:rPr>
        <w:t xml:space="preserve"> </w:t>
      </w:r>
      <w:r w:rsidR="00DD4916" w:rsidRPr="00DD4916">
        <w:rPr>
          <w:rFonts w:cs="Arial"/>
          <w:sz w:val="22"/>
        </w:rPr>
        <w:t>Les, the manager, argues that Roger should spend some more time recovering at home – what’s your view?</w:t>
      </w:r>
    </w:p>
    <w:p w14:paraId="3B69F4A7" w14:textId="77777777" w:rsidR="00DD4916" w:rsidRPr="00DD4916" w:rsidRDefault="00DD4916" w:rsidP="005C536F">
      <w:pPr>
        <w:rPr>
          <w:rFonts w:cs="Arial"/>
          <w:color w:val="auto"/>
          <w:sz w:val="22"/>
        </w:rPr>
      </w:pPr>
    </w:p>
    <w:p w14:paraId="4ADF6E2A" w14:textId="1F24817A" w:rsidR="005C536F" w:rsidRPr="00DD4916" w:rsidRDefault="005C536F" w:rsidP="005C536F">
      <w:pPr>
        <w:rPr>
          <w:rFonts w:cs="Arial"/>
          <w:sz w:val="22"/>
        </w:rPr>
      </w:pPr>
      <w:r w:rsidRPr="00DD4916">
        <w:rPr>
          <w:rFonts w:cs="Arial"/>
          <w:b/>
          <w:sz w:val="22"/>
        </w:rPr>
        <w:t>Question 6:</w:t>
      </w:r>
      <w:r w:rsidRPr="00DD4916">
        <w:rPr>
          <w:rFonts w:cs="Arial"/>
          <w:sz w:val="22"/>
        </w:rPr>
        <w:t xml:space="preserve"> </w:t>
      </w:r>
      <w:r w:rsidR="00DD4916" w:rsidRPr="00DD4916">
        <w:rPr>
          <w:rFonts w:cs="Arial"/>
          <w:sz w:val="22"/>
        </w:rPr>
        <w:t>Les says he will cut Roger’s hours if he keeps making demands.  How significant is that statement?</w:t>
      </w:r>
    </w:p>
    <w:p w14:paraId="6343EBC0" w14:textId="77777777" w:rsidR="00200EC2" w:rsidRPr="00200EC2" w:rsidRDefault="00200EC2" w:rsidP="005C536F">
      <w:pPr>
        <w:rPr>
          <w:rFonts w:cs="Arial"/>
          <w:sz w:val="22"/>
        </w:rPr>
      </w:pPr>
    </w:p>
    <w:p w14:paraId="131BFBE8" w14:textId="77777777" w:rsidR="00200EC2" w:rsidRDefault="00200EC2" w:rsidP="005C536F">
      <w:pPr>
        <w:rPr>
          <w:rFonts w:cs="Arial"/>
          <w:b/>
          <w:color w:val="333399"/>
          <w:sz w:val="22"/>
        </w:rPr>
      </w:pPr>
    </w:p>
    <w:p w14:paraId="339BA3D6" w14:textId="77777777" w:rsidR="00200EC2" w:rsidRDefault="00200EC2" w:rsidP="005C536F">
      <w:pPr>
        <w:rPr>
          <w:rFonts w:cs="Arial"/>
          <w:b/>
          <w:color w:val="333399"/>
          <w:sz w:val="22"/>
        </w:rPr>
      </w:pPr>
    </w:p>
    <w:p w14:paraId="74E91730" w14:textId="77777777" w:rsidR="00200EC2" w:rsidRDefault="00200EC2" w:rsidP="005C536F">
      <w:pPr>
        <w:rPr>
          <w:rFonts w:cs="Arial"/>
          <w:b/>
          <w:color w:val="333399"/>
          <w:sz w:val="22"/>
        </w:rPr>
      </w:pPr>
    </w:p>
    <w:p w14:paraId="2D2B9376" w14:textId="77777777" w:rsidR="00200EC2" w:rsidRDefault="00200EC2" w:rsidP="005C536F">
      <w:pPr>
        <w:rPr>
          <w:rFonts w:cs="Arial"/>
          <w:b/>
          <w:color w:val="333399"/>
          <w:sz w:val="22"/>
        </w:rPr>
      </w:pPr>
    </w:p>
    <w:p w14:paraId="7BC4D5A1" w14:textId="77777777" w:rsidR="00200EC2" w:rsidRDefault="00200EC2" w:rsidP="005C536F">
      <w:pPr>
        <w:rPr>
          <w:rFonts w:cs="Arial"/>
          <w:b/>
          <w:color w:val="333399"/>
          <w:sz w:val="22"/>
        </w:rPr>
      </w:pPr>
    </w:p>
    <w:p w14:paraId="78920B82" w14:textId="77777777" w:rsidR="005C536F" w:rsidRPr="00200EC2" w:rsidRDefault="005C536F" w:rsidP="005C536F">
      <w:pPr>
        <w:rPr>
          <w:rFonts w:cs="Arial"/>
          <w:b/>
          <w:color w:val="333399"/>
          <w:sz w:val="22"/>
        </w:rPr>
      </w:pPr>
      <w:r w:rsidRPr="00200EC2">
        <w:rPr>
          <w:rFonts w:cs="Arial"/>
          <w:b/>
          <w:color w:val="333399"/>
          <w:sz w:val="22"/>
        </w:rPr>
        <w:t>Ideas for training staff, managers (anyone in a supervisory position) or contact officers:</w:t>
      </w:r>
    </w:p>
    <w:p w14:paraId="15D07AA8" w14:textId="77777777" w:rsidR="005C536F" w:rsidRPr="00200EC2" w:rsidRDefault="005C536F" w:rsidP="005C536F">
      <w:pPr>
        <w:rPr>
          <w:rFonts w:cs="Arial"/>
          <w:sz w:val="22"/>
        </w:rPr>
      </w:pPr>
    </w:p>
    <w:p w14:paraId="15F007E3" w14:textId="77777777" w:rsidR="00200EC2" w:rsidRDefault="00200EC2" w:rsidP="005C536F">
      <w:pPr>
        <w:rPr>
          <w:rFonts w:cs="Arial"/>
          <w:b/>
          <w:sz w:val="22"/>
        </w:rPr>
      </w:pPr>
      <w:r>
        <w:rPr>
          <w:rFonts w:cs="Arial"/>
          <w:b/>
          <w:sz w:val="22"/>
        </w:rPr>
        <w:t>Staff</w:t>
      </w:r>
    </w:p>
    <w:p w14:paraId="3D48394F" w14:textId="77777777" w:rsidR="00DD4916" w:rsidRPr="00DD4916" w:rsidRDefault="00DD4916" w:rsidP="00DD4916">
      <w:pPr>
        <w:pStyle w:val="ListParagraph"/>
        <w:numPr>
          <w:ilvl w:val="0"/>
          <w:numId w:val="17"/>
        </w:numPr>
        <w:ind w:left="360" w:right="567"/>
        <w:rPr>
          <w:rFonts w:cs="Arial"/>
          <w:color w:val="auto"/>
          <w:sz w:val="22"/>
        </w:rPr>
      </w:pPr>
      <w:r w:rsidRPr="00DD4916">
        <w:rPr>
          <w:rFonts w:cs="Arial"/>
          <w:sz w:val="22"/>
        </w:rPr>
        <w:t>Trainer could seek comments from small or large groups about ‘what constitutes a disability?’  And finishing with definitions highlighting temporary’ disability or impairment, permanent disability and or illness.</w:t>
      </w:r>
    </w:p>
    <w:p w14:paraId="16CB60D2" w14:textId="77777777" w:rsidR="00DD4916" w:rsidRPr="00DD4916" w:rsidRDefault="00DD4916" w:rsidP="00DD4916">
      <w:pPr>
        <w:ind w:right="567"/>
        <w:rPr>
          <w:rFonts w:cs="Arial"/>
          <w:sz w:val="22"/>
        </w:rPr>
      </w:pPr>
    </w:p>
    <w:p w14:paraId="134E18F5" w14:textId="77777777" w:rsidR="00DD4916" w:rsidRPr="00DD4916" w:rsidRDefault="00DD4916" w:rsidP="00DD4916">
      <w:pPr>
        <w:pStyle w:val="ListParagraph"/>
        <w:numPr>
          <w:ilvl w:val="0"/>
          <w:numId w:val="17"/>
        </w:numPr>
        <w:ind w:left="360" w:right="567"/>
        <w:rPr>
          <w:rFonts w:cs="Arial"/>
          <w:sz w:val="22"/>
        </w:rPr>
      </w:pPr>
      <w:r w:rsidRPr="00DD4916">
        <w:rPr>
          <w:rFonts w:cs="Arial"/>
          <w:sz w:val="22"/>
        </w:rPr>
        <w:t>Scene lends itself to discussion about ‘asserting’ one’s rights and the role of “self help” in dealing with matters of concern.  Discussion can link how to assert one’s rights with the internal complaint procedure.</w:t>
      </w:r>
    </w:p>
    <w:p w14:paraId="3620191D" w14:textId="77777777" w:rsidR="00DD4916" w:rsidRPr="00DD4916" w:rsidRDefault="00DD4916" w:rsidP="00DD4916">
      <w:pPr>
        <w:ind w:right="567"/>
        <w:rPr>
          <w:rFonts w:cs="Arial"/>
          <w:sz w:val="22"/>
        </w:rPr>
      </w:pPr>
    </w:p>
    <w:p w14:paraId="258D5103" w14:textId="08704A86" w:rsidR="005C536F" w:rsidRDefault="00DD4916" w:rsidP="00DD4916">
      <w:pPr>
        <w:pStyle w:val="ListParagraph"/>
        <w:numPr>
          <w:ilvl w:val="0"/>
          <w:numId w:val="17"/>
        </w:numPr>
        <w:ind w:left="360"/>
        <w:rPr>
          <w:rFonts w:cs="Arial"/>
          <w:sz w:val="22"/>
        </w:rPr>
      </w:pPr>
      <w:r w:rsidRPr="00DD4916">
        <w:rPr>
          <w:rFonts w:cs="Arial"/>
          <w:sz w:val="22"/>
        </w:rPr>
        <w:t>Trainer could use the scene to explore the differences and similarities between taking up a complaint internally and with an external body like the EOC</w:t>
      </w:r>
    </w:p>
    <w:p w14:paraId="48CF6028" w14:textId="77777777" w:rsidR="00DD4916" w:rsidRPr="00DD4916" w:rsidRDefault="00DD4916" w:rsidP="00DD4916">
      <w:pPr>
        <w:pStyle w:val="ListParagraph"/>
        <w:rPr>
          <w:rFonts w:cs="Arial"/>
          <w:sz w:val="22"/>
        </w:rPr>
      </w:pPr>
    </w:p>
    <w:p w14:paraId="3F1D91F2" w14:textId="77777777" w:rsidR="00DD4916" w:rsidRPr="00DD4916" w:rsidRDefault="00DD4916" w:rsidP="00DD4916">
      <w:pPr>
        <w:pStyle w:val="ListParagraph"/>
        <w:numPr>
          <w:ilvl w:val="0"/>
          <w:numId w:val="17"/>
        </w:numPr>
        <w:ind w:left="360"/>
        <w:rPr>
          <w:rFonts w:cs="Arial"/>
          <w:color w:val="auto"/>
          <w:sz w:val="22"/>
        </w:rPr>
      </w:pPr>
      <w:r w:rsidRPr="00DD4916">
        <w:rPr>
          <w:rFonts w:cs="Arial"/>
          <w:sz w:val="22"/>
        </w:rPr>
        <w:t xml:space="preserve">Trainer could ask participants what they would expect if a complaint was made to the EOC from the perspective of both the complainant and respondent. Comments could be noted on whiteboard using two separate columns. </w:t>
      </w:r>
    </w:p>
    <w:p w14:paraId="56318FB1" w14:textId="77777777" w:rsidR="00DD4916" w:rsidRPr="00DD4916" w:rsidRDefault="00DD4916" w:rsidP="00DD4916">
      <w:pPr>
        <w:pStyle w:val="ListParagraph"/>
        <w:rPr>
          <w:rFonts w:cs="Arial"/>
          <w:sz w:val="22"/>
        </w:rPr>
      </w:pPr>
    </w:p>
    <w:p w14:paraId="2A273C28" w14:textId="511C76D3" w:rsidR="00DD4916" w:rsidRPr="00DD4916" w:rsidRDefault="00DD4916" w:rsidP="00DD4916">
      <w:pPr>
        <w:pStyle w:val="ListParagraph"/>
        <w:numPr>
          <w:ilvl w:val="0"/>
          <w:numId w:val="17"/>
        </w:numPr>
        <w:ind w:left="360"/>
        <w:rPr>
          <w:rFonts w:cs="Arial"/>
          <w:color w:val="auto"/>
          <w:sz w:val="22"/>
        </w:rPr>
      </w:pPr>
      <w:r w:rsidRPr="00DD4916">
        <w:rPr>
          <w:rFonts w:cs="Arial"/>
          <w:sz w:val="22"/>
        </w:rPr>
        <w:t>Question</w:t>
      </w:r>
      <w:r>
        <w:rPr>
          <w:rFonts w:cs="Arial"/>
          <w:sz w:val="22"/>
        </w:rPr>
        <w:t>s</w:t>
      </w:r>
      <w:r w:rsidRPr="00DD4916">
        <w:rPr>
          <w:rFonts w:cs="Arial"/>
          <w:sz w:val="22"/>
        </w:rPr>
        <w:t xml:space="preserve"> could be put in to elicit views about how the complaint would be dealt with and how the individuals would be treated. Point to highlight from the scene is that the EOC is not an umpire.  The scene is based on a complaint received at the EOC and a typical agreement reached at conciliation between the Complainant and Respondent includes a f</w:t>
      </w:r>
      <w:r>
        <w:rPr>
          <w:rFonts w:cs="Arial"/>
          <w:sz w:val="22"/>
        </w:rPr>
        <w:t>inancial component covering loss</w:t>
      </w:r>
      <w:r w:rsidRPr="00DD4916">
        <w:rPr>
          <w:rFonts w:cs="Arial"/>
          <w:sz w:val="22"/>
        </w:rPr>
        <w:t xml:space="preserve"> of wages for example, an apology and training for staff.</w:t>
      </w:r>
    </w:p>
    <w:p w14:paraId="20FDEF3B" w14:textId="77777777" w:rsidR="00DD4916" w:rsidRPr="00DD4916" w:rsidRDefault="00DD4916" w:rsidP="00DD4916">
      <w:pPr>
        <w:pStyle w:val="ListParagraph"/>
        <w:ind w:left="360"/>
        <w:rPr>
          <w:rFonts w:cs="Arial"/>
          <w:sz w:val="22"/>
        </w:rPr>
      </w:pPr>
    </w:p>
    <w:p w14:paraId="27EC32B0" w14:textId="2407F2F5" w:rsidR="005C536F" w:rsidRDefault="00200EC2" w:rsidP="005C536F">
      <w:pPr>
        <w:rPr>
          <w:rFonts w:cs="Arial"/>
          <w:b/>
          <w:sz w:val="22"/>
        </w:rPr>
      </w:pPr>
      <w:r>
        <w:rPr>
          <w:rFonts w:cs="Arial"/>
          <w:b/>
          <w:sz w:val="22"/>
        </w:rPr>
        <w:t>Managers</w:t>
      </w:r>
    </w:p>
    <w:p w14:paraId="60006E8E" w14:textId="77777777" w:rsidR="00200EC2" w:rsidRPr="00200EC2" w:rsidRDefault="00200EC2" w:rsidP="005C536F">
      <w:pPr>
        <w:rPr>
          <w:rFonts w:cs="Arial"/>
          <w:b/>
          <w:sz w:val="22"/>
        </w:rPr>
      </w:pPr>
    </w:p>
    <w:p w14:paraId="1E4454DC" w14:textId="77777777" w:rsidR="00DD4916" w:rsidRPr="00DD4916" w:rsidRDefault="00DD4916" w:rsidP="00DD4916">
      <w:pPr>
        <w:ind w:right="567"/>
        <w:rPr>
          <w:rFonts w:cs="Arial"/>
          <w:color w:val="auto"/>
          <w:sz w:val="22"/>
        </w:rPr>
      </w:pPr>
      <w:r w:rsidRPr="00DD4916">
        <w:rPr>
          <w:rFonts w:cs="Arial"/>
          <w:sz w:val="22"/>
        </w:rPr>
        <w:t>Trainer could use the scene to explore ‘reasonable adjustment’ vs ‘unjustifiable hardship’.  Is the stool a reasonable adjustment?  Or would the provision of the stool impose an unjustifiable hardship on the employer?</w:t>
      </w:r>
    </w:p>
    <w:p w14:paraId="3E783924" w14:textId="77777777" w:rsidR="00DD4916" w:rsidRPr="00DD4916" w:rsidRDefault="00DD4916" w:rsidP="00DD4916">
      <w:pPr>
        <w:pStyle w:val="acthead5"/>
        <w:rPr>
          <w:rFonts w:ascii="Arial" w:hAnsi="Arial" w:cs="Arial"/>
          <w:sz w:val="22"/>
          <w:szCs w:val="22"/>
        </w:rPr>
      </w:pPr>
      <w:bookmarkStart w:id="0" w:name="_Toc131397389"/>
      <w:r w:rsidRPr="00DD4916">
        <w:rPr>
          <w:rFonts w:ascii="Arial" w:hAnsi="Arial" w:cs="Arial"/>
          <w:sz w:val="22"/>
          <w:szCs w:val="22"/>
        </w:rPr>
        <w:t>Unjustifiable hardship</w:t>
      </w:r>
      <w:bookmarkEnd w:id="0"/>
      <w:r w:rsidRPr="00DD4916">
        <w:rPr>
          <w:rFonts w:ascii="Arial" w:hAnsi="Arial" w:cs="Arial"/>
          <w:sz w:val="22"/>
          <w:szCs w:val="22"/>
        </w:rPr>
        <w:t xml:space="preserve"> as defined by the Disability Discrimination Act 1992 </w:t>
      </w:r>
    </w:p>
    <w:p w14:paraId="2534DCEB" w14:textId="77777777" w:rsidR="00DD4916" w:rsidRPr="00DD4916" w:rsidRDefault="00DD4916" w:rsidP="00DD4916">
      <w:pPr>
        <w:pStyle w:val="subsection"/>
        <w:tabs>
          <w:tab w:val="left" w:pos="0"/>
        </w:tabs>
        <w:ind w:left="0" w:firstLine="0"/>
        <w:rPr>
          <w:rFonts w:ascii="Arial" w:hAnsi="Arial" w:cs="Arial"/>
        </w:rPr>
      </w:pPr>
      <w:r w:rsidRPr="00DD4916">
        <w:rPr>
          <w:rFonts w:ascii="Arial" w:hAnsi="Arial" w:cs="Arial"/>
        </w:rPr>
        <w:t>For the purposes of this Act, in determining what constitutes unjustifiable hardship, all relevant circumstances of the particular case are to be taken into account including</w:t>
      </w:r>
    </w:p>
    <w:p w14:paraId="780BD7BE" w14:textId="77777777" w:rsidR="00DD4916" w:rsidRPr="00DD4916" w:rsidRDefault="00DD4916" w:rsidP="00DD4916">
      <w:pPr>
        <w:pStyle w:val="subsection"/>
        <w:tabs>
          <w:tab w:val="left" w:pos="0"/>
        </w:tabs>
        <w:ind w:left="0" w:firstLine="0"/>
        <w:rPr>
          <w:rFonts w:ascii="Arial" w:hAnsi="Arial" w:cs="Arial"/>
        </w:rPr>
      </w:pPr>
      <w:r w:rsidRPr="00DD4916">
        <w:rPr>
          <w:rFonts w:ascii="Arial" w:hAnsi="Arial" w:cs="Arial"/>
        </w:rPr>
        <w:t>(a)  the nature of the benefit or detriment likely to accrue or be suffered by any persons concerned; and</w:t>
      </w:r>
    </w:p>
    <w:p w14:paraId="796092F3" w14:textId="77777777" w:rsidR="00DD4916" w:rsidRPr="00DD4916" w:rsidRDefault="00DD4916" w:rsidP="00DD4916">
      <w:pPr>
        <w:pStyle w:val="paragraph"/>
        <w:tabs>
          <w:tab w:val="left" w:pos="0"/>
        </w:tabs>
        <w:ind w:left="0" w:firstLine="0"/>
        <w:rPr>
          <w:rFonts w:ascii="Arial" w:hAnsi="Arial" w:cs="Arial"/>
        </w:rPr>
      </w:pPr>
      <w:r w:rsidRPr="00DD4916">
        <w:rPr>
          <w:rFonts w:ascii="Arial" w:hAnsi="Arial" w:cs="Arial"/>
        </w:rPr>
        <w:t>(b)  the effect of the disability of a person concerned; and</w:t>
      </w:r>
    </w:p>
    <w:p w14:paraId="08F26918" w14:textId="77777777" w:rsidR="00DD4916" w:rsidRPr="00DD4916" w:rsidRDefault="00DD4916" w:rsidP="00DD4916">
      <w:pPr>
        <w:pStyle w:val="paragraph"/>
        <w:tabs>
          <w:tab w:val="left" w:pos="0"/>
        </w:tabs>
        <w:ind w:left="0" w:firstLine="0"/>
        <w:rPr>
          <w:rFonts w:ascii="Arial" w:hAnsi="Arial" w:cs="Arial"/>
        </w:rPr>
      </w:pPr>
      <w:r w:rsidRPr="00DD4916">
        <w:rPr>
          <w:rFonts w:ascii="Arial" w:hAnsi="Arial" w:cs="Arial"/>
        </w:rPr>
        <w:t>(c)  the financial circumstances and the estimated amount of expenditure required to be made by the person claiming unjustifiable hardship; and</w:t>
      </w:r>
    </w:p>
    <w:p w14:paraId="56B67816" w14:textId="77777777" w:rsidR="00DD4916" w:rsidRPr="00DD4916" w:rsidRDefault="00DD4916" w:rsidP="00DD4916">
      <w:pPr>
        <w:pStyle w:val="paragraph"/>
        <w:tabs>
          <w:tab w:val="left" w:pos="0"/>
        </w:tabs>
        <w:ind w:left="0" w:firstLine="0"/>
        <w:rPr>
          <w:rFonts w:ascii="Arial" w:hAnsi="Arial" w:cs="Arial"/>
        </w:rPr>
      </w:pPr>
      <w:r w:rsidRPr="00DD4916">
        <w:rPr>
          <w:rFonts w:ascii="Arial" w:hAnsi="Arial" w:cs="Arial"/>
        </w:rPr>
        <w:lastRenderedPageBreak/>
        <w:t>(d)  in the case of the provision of services, or the making available of facilities—an action plan given to the Commission under section 64.</w:t>
      </w:r>
    </w:p>
    <w:p w14:paraId="3129D0F0" w14:textId="77777777" w:rsidR="00DD4916" w:rsidRPr="00DD4916" w:rsidRDefault="00DD4916" w:rsidP="00DD4916">
      <w:pPr>
        <w:tabs>
          <w:tab w:val="left" w:pos="567"/>
        </w:tabs>
        <w:ind w:left="567" w:right="567" w:hanging="567"/>
        <w:rPr>
          <w:rFonts w:cs="Arial"/>
          <w:sz w:val="22"/>
        </w:rPr>
      </w:pPr>
    </w:p>
    <w:p w14:paraId="2C416513" w14:textId="77777777" w:rsidR="00DD4916" w:rsidRPr="00DD4916" w:rsidRDefault="00DD4916" w:rsidP="00DD4916">
      <w:pPr>
        <w:ind w:right="567"/>
        <w:rPr>
          <w:rFonts w:cs="Arial"/>
          <w:sz w:val="22"/>
        </w:rPr>
      </w:pPr>
      <w:r w:rsidRPr="00DD4916">
        <w:rPr>
          <w:rFonts w:cs="Arial"/>
          <w:sz w:val="22"/>
        </w:rPr>
        <w:t>Trainer could use this scene to have a discussion about the difference between managing an employee who was injured at work by comparison with one with a non-work related injury.  Highlight that while processes may differ, a disability is a disability under the Equal Opportunity Act 1984 or the Disability Discrimination Act 1992.  Compare responsibilities with Equal Opportunity to those under Occupational health and safety legislation.</w:t>
      </w:r>
    </w:p>
    <w:p w14:paraId="63CF543B" w14:textId="77777777" w:rsidR="00DD4916" w:rsidRPr="00DD4916" w:rsidRDefault="00DD4916" w:rsidP="00DD4916">
      <w:pPr>
        <w:ind w:right="567"/>
        <w:rPr>
          <w:rFonts w:cs="Arial"/>
          <w:sz w:val="22"/>
        </w:rPr>
      </w:pPr>
    </w:p>
    <w:p w14:paraId="45615249" w14:textId="5878096F" w:rsidR="00200EC2" w:rsidRPr="00DD4916" w:rsidRDefault="00DD4916" w:rsidP="00DD4916">
      <w:pPr>
        <w:ind w:right="567"/>
        <w:rPr>
          <w:rFonts w:cs="Arial"/>
          <w:sz w:val="22"/>
        </w:rPr>
      </w:pPr>
      <w:r w:rsidRPr="00DD4916">
        <w:rPr>
          <w:rFonts w:cs="Arial"/>
          <w:sz w:val="22"/>
        </w:rPr>
        <w:t>Discuss the role of the supervisor in assisting Roger’s return to work.</w:t>
      </w:r>
    </w:p>
    <w:p w14:paraId="419E9F99" w14:textId="77777777" w:rsidR="00200EC2" w:rsidRDefault="00200EC2" w:rsidP="005C536F">
      <w:pPr>
        <w:rPr>
          <w:rFonts w:cs="Arial"/>
          <w:b/>
          <w:sz w:val="22"/>
        </w:rPr>
      </w:pPr>
    </w:p>
    <w:p w14:paraId="5ADB8CB9" w14:textId="77777777" w:rsidR="005C536F" w:rsidRPr="00200EC2" w:rsidRDefault="005C536F" w:rsidP="005C536F">
      <w:pPr>
        <w:rPr>
          <w:rFonts w:cs="Arial"/>
          <w:b/>
          <w:sz w:val="22"/>
        </w:rPr>
      </w:pPr>
      <w:r w:rsidRPr="00200EC2">
        <w:rPr>
          <w:rFonts w:cs="Arial"/>
          <w:b/>
          <w:sz w:val="22"/>
        </w:rPr>
        <w:t>Contact Officers</w:t>
      </w:r>
    </w:p>
    <w:p w14:paraId="33B2738B" w14:textId="77777777" w:rsidR="005C536F" w:rsidRPr="00DD4916" w:rsidRDefault="005C536F" w:rsidP="005C536F">
      <w:pPr>
        <w:rPr>
          <w:rFonts w:cs="Arial"/>
          <w:sz w:val="22"/>
        </w:rPr>
      </w:pPr>
    </w:p>
    <w:p w14:paraId="00AB9580" w14:textId="77777777" w:rsidR="00DD4916" w:rsidRPr="00DD4916" w:rsidRDefault="00DD4916" w:rsidP="00DD4916">
      <w:pPr>
        <w:ind w:right="567"/>
        <w:rPr>
          <w:rFonts w:cs="Arial"/>
          <w:color w:val="auto"/>
          <w:sz w:val="22"/>
        </w:rPr>
      </w:pPr>
      <w:r w:rsidRPr="00DD4916">
        <w:rPr>
          <w:rFonts w:cs="Arial"/>
          <w:sz w:val="22"/>
        </w:rPr>
        <w:t>Contact officers could role play this scene as if Roger had approached them - emphasis on scoping range of options and their risks or benefits.</w:t>
      </w:r>
    </w:p>
    <w:p w14:paraId="76C65C60" w14:textId="5192F749" w:rsidR="00086498" w:rsidRPr="00200EC2" w:rsidRDefault="00DD4916" w:rsidP="00DD4916">
      <w:pPr>
        <w:spacing w:after="80"/>
        <w:ind w:hanging="142"/>
        <w:jc w:val="right"/>
        <w:rPr>
          <w:rFonts w:cs="Arial"/>
          <w:sz w:val="22"/>
        </w:rPr>
      </w:pPr>
      <w:bookmarkStart w:id="1" w:name="_GoBack"/>
      <w:bookmarkEnd w:id="1"/>
      <w:r w:rsidRPr="00200EC2">
        <w:rPr>
          <w:rFonts w:cs="Arial"/>
          <w:sz w:val="22"/>
        </w:rPr>
        <w:t xml:space="preserve"> </w:t>
      </w:r>
      <w:r w:rsidR="00086498" w:rsidRPr="00200EC2">
        <w:rPr>
          <w:rFonts w:cs="Arial"/>
          <w:sz w:val="22"/>
        </w:rPr>
        <w:br w:type="page"/>
      </w:r>
    </w:p>
    <w:p w14:paraId="32D2C8EF" w14:textId="77777777" w:rsidR="00086498" w:rsidRPr="00200EC2" w:rsidRDefault="00086498" w:rsidP="00086498">
      <w:pPr>
        <w:spacing w:after="80"/>
        <w:ind w:right="567" w:hanging="142"/>
        <w:jc w:val="right"/>
        <w:rPr>
          <w:rFonts w:cs="Arial"/>
          <w:sz w:val="22"/>
        </w:rPr>
      </w:pPr>
    </w:p>
    <w:p w14:paraId="5B734E9E" w14:textId="77777777" w:rsidR="00086498" w:rsidRPr="00200EC2" w:rsidRDefault="00086498" w:rsidP="00086498">
      <w:pPr>
        <w:spacing w:after="80"/>
        <w:ind w:left="142" w:right="567" w:hanging="142"/>
        <w:rPr>
          <w:rFonts w:cs="Arial"/>
          <w:sz w:val="22"/>
        </w:rPr>
      </w:pPr>
      <w:r w:rsidRPr="00200EC2">
        <w:rPr>
          <w:rFonts w:cs="Arial"/>
          <w:sz w:val="22"/>
        </w:rPr>
        <w:t xml:space="preserve">- You might ask managers the question: ‘If you were dealing with this matter, what would you do ‘differently from’ and then ‘the same’ as Richard?’ Talk about Greg’s response that he knew nothing about the policy referred to by Richard.  </w:t>
      </w:r>
    </w:p>
    <w:p w14:paraId="719BDC69" w14:textId="77777777" w:rsidR="00086498" w:rsidRPr="00200EC2" w:rsidRDefault="00086498" w:rsidP="00086498">
      <w:pPr>
        <w:spacing w:after="80"/>
        <w:ind w:left="142" w:right="567" w:hanging="142"/>
        <w:rPr>
          <w:rFonts w:cs="Arial"/>
          <w:sz w:val="22"/>
        </w:rPr>
      </w:pPr>
      <w:r w:rsidRPr="00200EC2">
        <w:rPr>
          <w:rFonts w:cs="Arial"/>
          <w:sz w:val="22"/>
        </w:rPr>
        <w:t xml:space="preserve">- Another  focus to take with group discussion ‘This scene presents some negative and positive ideas which might be useful to you as managers. Richard displays at least five principles for nipping problem behaviours in the bud. What were they?’ -  1) Richard was prompt, 2) took the matter seriously, 3) interviewed the parties in a sensitive environment, 4) impartial, and 5) kept the matter contained. </w:t>
      </w:r>
    </w:p>
    <w:p w14:paraId="0363A042" w14:textId="77777777" w:rsidR="00086498" w:rsidRPr="00200EC2" w:rsidRDefault="00086498" w:rsidP="00086498">
      <w:pPr>
        <w:spacing w:after="80"/>
        <w:ind w:left="142" w:right="567" w:hanging="142"/>
        <w:rPr>
          <w:rFonts w:cs="Arial"/>
          <w:sz w:val="22"/>
        </w:rPr>
      </w:pPr>
      <w:r w:rsidRPr="00200EC2">
        <w:rPr>
          <w:rFonts w:cs="Arial"/>
          <w:sz w:val="22"/>
        </w:rPr>
        <w:t>- Before showing the second and third scenes ask participants to think about the way Richard responds to Mick, then Greg, particularly the questions he puts to them and his responses.</w:t>
      </w:r>
    </w:p>
    <w:p w14:paraId="2007BE0C" w14:textId="77777777" w:rsidR="00086498" w:rsidRPr="00200EC2" w:rsidRDefault="00086498" w:rsidP="00086498">
      <w:pPr>
        <w:spacing w:after="80"/>
        <w:ind w:left="142" w:right="567" w:hanging="142"/>
        <w:rPr>
          <w:rFonts w:cs="Arial"/>
          <w:sz w:val="22"/>
        </w:rPr>
      </w:pPr>
      <w:r w:rsidRPr="00200EC2">
        <w:rPr>
          <w:rFonts w:cs="Arial"/>
          <w:sz w:val="22"/>
        </w:rPr>
        <w:t>- Discuss Richard’s response and link with your workplace policies and procedures.</w:t>
      </w:r>
    </w:p>
    <w:p w14:paraId="6412A36E" w14:textId="77777777" w:rsidR="00086498" w:rsidRPr="00200EC2" w:rsidRDefault="00086498" w:rsidP="00086498">
      <w:pPr>
        <w:spacing w:after="80"/>
        <w:ind w:left="142" w:right="567" w:hanging="142"/>
        <w:rPr>
          <w:rFonts w:cs="Arial"/>
          <w:sz w:val="22"/>
        </w:rPr>
      </w:pPr>
      <w:r w:rsidRPr="00200EC2">
        <w:rPr>
          <w:rFonts w:cs="Arial"/>
          <w:sz w:val="22"/>
        </w:rPr>
        <w:t>- Discuss how Managers can support staff with ‘self help’.</w:t>
      </w:r>
    </w:p>
    <w:p w14:paraId="3A14A155" w14:textId="77777777" w:rsidR="00086498" w:rsidRPr="00200EC2" w:rsidRDefault="00086498" w:rsidP="00086498">
      <w:pPr>
        <w:spacing w:after="80"/>
        <w:ind w:right="567"/>
        <w:rPr>
          <w:rFonts w:cs="Arial"/>
          <w:sz w:val="22"/>
        </w:rPr>
      </w:pPr>
    </w:p>
    <w:p w14:paraId="447E02B6" w14:textId="77777777" w:rsidR="00086498" w:rsidRPr="00200EC2" w:rsidRDefault="00086498" w:rsidP="00086498">
      <w:pPr>
        <w:spacing w:after="80"/>
        <w:ind w:right="567"/>
        <w:rPr>
          <w:rFonts w:cs="Arial"/>
          <w:b/>
          <w:bCs/>
          <w:sz w:val="22"/>
        </w:rPr>
      </w:pPr>
      <w:r w:rsidRPr="00200EC2">
        <w:rPr>
          <w:rFonts w:cs="Arial"/>
          <w:b/>
          <w:bCs/>
          <w:sz w:val="22"/>
        </w:rPr>
        <w:t>Contact Officers [15 mins]</w:t>
      </w:r>
    </w:p>
    <w:p w14:paraId="313AC8E0" w14:textId="77777777" w:rsidR="00086498" w:rsidRPr="00200EC2" w:rsidRDefault="00086498" w:rsidP="00086498">
      <w:pPr>
        <w:spacing w:after="80"/>
        <w:ind w:left="142" w:right="567" w:hanging="142"/>
        <w:rPr>
          <w:rFonts w:cs="Arial"/>
          <w:sz w:val="22"/>
        </w:rPr>
      </w:pPr>
      <w:r w:rsidRPr="00200EC2">
        <w:rPr>
          <w:rFonts w:cs="Arial"/>
          <w:sz w:val="22"/>
        </w:rPr>
        <w:t>- Small group exercise inviting contact officers to describe how they would interview Mick if he had approached one of them. What information would they want from Mick and what would they provide?</w:t>
      </w:r>
    </w:p>
    <w:p w14:paraId="3738FB2A" w14:textId="77777777" w:rsidR="00086498" w:rsidRPr="00200EC2" w:rsidRDefault="00086498" w:rsidP="00086498">
      <w:pPr>
        <w:spacing w:after="80"/>
        <w:ind w:left="142" w:right="567" w:hanging="142"/>
        <w:rPr>
          <w:rFonts w:cs="Arial"/>
          <w:sz w:val="22"/>
        </w:rPr>
      </w:pPr>
      <w:r w:rsidRPr="00200EC2">
        <w:rPr>
          <w:rFonts w:cs="Arial"/>
          <w:sz w:val="22"/>
        </w:rPr>
        <w:t xml:space="preserve">- Pose a question to the whole group: what are the key differences between your role and Richard’s? </w:t>
      </w:r>
    </w:p>
    <w:p w14:paraId="2008402B" w14:textId="77777777" w:rsidR="00086498" w:rsidRPr="00200EC2" w:rsidRDefault="00086498" w:rsidP="00086498">
      <w:pPr>
        <w:spacing w:after="80"/>
        <w:ind w:left="142" w:right="567" w:hanging="142"/>
        <w:rPr>
          <w:rFonts w:cs="Arial"/>
          <w:sz w:val="22"/>
        </w:rPr>
      </w:pPr>
      <w:r w:rsidRPr="00200EC2">
        <w:rPr>
          <w:rFonts w:cs="Arial"/>
          <w:sz w:val="22"/>
        </w:rPr>
        <w:t>- Discuss how a contact officer can support staff with ‘self help’.</w:t>
      </w:r>
    </w:p>
    <w:p w14:paraId="77927727" w14:textId="77777777" w:rsidR="00086498" w:rsidRPr="00200EC2" w:rsidRDefault="00086498" w:rsidP="00086498">
      <w:pPr>
        <w:spacing w:after="80"/>
        <w:ind w:right="567"/>
        <w:rPr>
          <w:rFonts w:cs="Arial"/>
        </w:rPr>
      </w:pPr>
    </w:p>
    <w:p w14:paraId="75F162B6" w14:textId="173EC25E" w:rsidR="00076F51" w:rsidRPr="000D1E70" w:rsidRDefault="00076F51" w:rsidP="001167C5">
      <w:pPr>
        <w:tabs>
          <w:tab w:val="left" w:pos="1134"/>
        </w:tabs>
        <w:spacing w:line="240" w:lineRule="auto"/>
        <w:ind w:left="1134" w:hanging="1134"/>
        <w:rPr>
          <w:rFonts w:cs="Arial"/>
          <w:sz w:val="22"/>
        </w:rPr>
      </w:pPr>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FFB7" w14:textId="77777777" w:rsidR="0056046D" w:rsidRDefault="0056046D" w:rsidP="00FD7A39">
      <w:pPr>
        <w:spacing w:after="0" w:line="240" w:lineRule="auto"/>
      </w:pPr>
      <w:r>
        <w:separator/>
      </w:r>
    </w:p>
  </w:endnote>
  <w:endnote w:type="continuationSeparator" w:id="0">
    <w:p w14:paraId="3C92F96C" w14:textId="77777777" w:rsidR="0056046D" w:rsidRDefault="0056046D"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DD4916">
          <w:rPr>
            <w:noProof/>
            <w:sz w:val="16"/>
          </w:rPr>
          <w:t>3</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FD6BB" w14:textId="77777777" w:rsidR="0056046D" w:rsidRDefault="0056046D" w:rsidP="00FD7A39">
      <w:pPr>
        <w:spacing w:after="0" w:line="240" w:lineRule="auto"/>
      </w:pPr>
      <w:r>
        <w:separator/>
      </w:r>
    </w:p>
  </w:footnote>
  <w:footnote w:type="continuationSeparator" w:id="0">
    <w:p w14:paraId="7BEF9A33" w14:textId="77777777" w:rsidR="0056046D" w:rsidRDefault="0056046D"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5" name="Picture 5"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AF2"/>
    <w:multiLevelType w:val="hybridMultilevel"/>
    <w:tmpl w:val="B298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4033E9"/>
    <w:multiLevelType w:val="hybridMultilevel"/>
    <w:tmpl w:val="82A20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9A1AB2"/>
    <w:multiLevelType w:val="hybridMultilevel"/>
    <w:tmpl w:val="9B6A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361BF"/>
    <w:multiLevelType w:val="hybridMultilevel"/>
    <w:tmpl w:val="50E60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E712DB"/>
    <w:multiLevelType w:val="hybridMultilevel"/>
    <w:tmpl w:val="58F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5C08C4"/>
    <w:multiLevelType w:val="hybridMultilevel"/>
    <w:tmpl w:val="11707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4"/>
  </w:num>
  <w:num w:numId="6">
    <w:abstractNumId w:val="5"/>
  </w:num>
  <w:num w:numId="7">
    <w:abstractNumId w:val="15"/>
  </w:num>
  <w:num w:numId="8">
    <w:abstractNumId w:val="12"/>
  </w:num>
  <w:num w:numId="9">
    <w:abstractNumId w:val="2"/>
  </w:num>
  <w:num w:numId="10">
    <w:abstractNumId w:val="13"/>
  </w:num>
  <w:num w:numId="11">
    <w:abstractNumId w:val="3"/>
  </w:num>
  <w:num w:numId="12">
    <w:abstractNumId w:val="7"/>
  </w:num>
  <w:num w:numId="13">
    <w:abstractNumId w:val="6"/>
  </w:num>
  <w:num w:numId="14">
    <w:abstractNumId w:val="11"/>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86498"/>
    <w:rsid w:val="00095389"/>
    <w:rsid w:val="000964FC"/>
    <w:rsid w:val="000A60F7"/>
    <w:rsid w:val="000B46CC"/>
    <w:rsid w:val="000C45A6"/>
    <w:rsid w:val="000D1E70"/>
    <w:rsid w:val="000D5044"/>
    <w:rsid w:val="000F495F"/>
    <w:rsid w:val="000F7951"/>
    <w:rsid w:val="00103BEE"/>
    <w:rsid w:val="00113768"/>
    <w:rsid w:val="00114A27"/>
    <w:rsid w:val="001167C5"/>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00EC2"/>
    <w:rsid w:val="00240E36"/>
    <w:rsid w:val="002545CD"/>
    <w:rsid w:val="00255D1E"/>
    <w:rsid w:val="00291A98"/>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6046D"/>
    <w:rsid w:val="005709B7"/>
    <w:rsid w:val="00576453"/>
    <w:rsid w:val="005828DA"/>
    <w:rsid w:val="00582C9C"/>
    <w:rsid w:val="0059129F"/>
    <w:rsid w:val="005A4A2A"/>
    <w:rsid w:val="005A5551"/>
    <w:rsid w:val="005B5C12"/>
    <w:rsid w:val="005C536F"/>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93BA8"/>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A7F56"/>
    <w:rsid w:val="007B5D6A"/>
    <w:rsid w:val="007C31F8"/>
    <w:rsid w:val="007C4C72"/>
    <w:rsid w:val="007D2229"/>
    <w:rsid w:val="00803099"/>
    <w:rsid w:val="00805886"/>
    <w:rsid w:val="0082275F"/>
    <w:rsid w:val="008262DF"/>
    <w:rsid w:val="0083349F"/>
    <w:rsid w:val="00861B8B"/>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2900"/>
    <w:rsid w:val="00925A08"/>
    <w:rsid w:val="00930964"/>
    <w:rsid w:val="0093133E"/>
    <w:rsid w:val="009419DD"/>
    <w:rsid w:val="009455B0"/>
    <w:rsid w:val="009468C4"/>
    <w:rsid w:val="00953F8C"/>
    <w:rsid w:val="0095430C"/>
    <w:rsid w:val="00957A50"/>
    <w:rsid w:val="009620F3"/>
    <w:rsid w:val="00970453"/>
    <w:rsid w:val="00972CB2"/>
    <w:rsid w:val="00974730"/>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4916"/>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 w:val="00FF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iPriority w:val="99"/>
    <w:unhideWhenUsed/>
    <w:rsid w:val="00A07144"/>
    <w:pPr>
      <w:shd w:val="clear" w:color="auto" w:fill="FFFFFF"/>
      <w:spacing w:after="225" w:line="280" w:lineRule="exact"/>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paragraph" w:styleId="BodyText">
    <w:name w:val="Body Text"/>
    <w:basedOn w:val="Normal"/>
    <w:link w:val="BodyTextChar"/>
    <w:semiHidden/>
    <w:rsid w:val="00086498"/>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u w:val="single"/>
    </w:rPr>
  </w:style>
  <w:style w:type="character" w:customStyle="1" w:styleId="BodyTextChar">
    <w:name w:val="Body Text Char"/>
    <w:basedOn w:val="DefaultParagraphFont"/>
    <w:link w:val="BodyText"/>
    <w:semiHidden/>
    <w:rsid w:val="00086498"/>
    <w:rPr>
      <w:rFonts w:ascii="Times New Roman" w:eastAsia="Times New Roman" w:hAnsi="Times New Roman" w:cs="Times New Roman"/>
      <w:sz w:val="24"/>
      <w:szCs w:val="20"/>
      <w:u w:val="single"/>
    </w:rPr>
  </w:style>
  <w:style w:type="character" w:styleId="Strong">
    <w:name w:val="Strong"/>
    <w:basedOn w:val="DefaultParagraphFont"/>
    <w:qFormat/>
    <w:rsid w:val="005C536F"/>
    <w:rPr>
      <w:b/>
      <w:bCs/>
    </w:rPr>
  </w:style>
  <w:style w:type="paragraph" w:customStyle="1" w:styleId="acthead5">
    <w:name w:val="acthead5"/>
    <w:basedOn w:val="Normal"/>
    <w:rsid w:val="00DD4916"/>
    <w:pPr>
      <w:keepNext/>
      <w:spacing w:before="280" w:after="0" w:line="240" w:lineRule="auto"/>
      <w:ind w:left="1134" w:hanging="1134"/>
    </w:pPr>
    <w:rPr>
      <w:rFonts w:ascii="Times New Roman" w:eastAsia="Times New Roman" w:hAnsi="Times New Roman" w:cs="Times New Roman"/>
      <w:b/>
      <w:bCs/>
      <w:color w:val="auto"/>
      <w:sz w:val="24"/>
      <w:szCs w:val="24"/>
      <w:lang w:eastAsia="en-AU"/>
    </w:rPr>
  </w:style>
  <w:style w:type="paragraph" w:customStyle="1" w:styleId="subsection">
    <w:name w:val="subsection"/>
    <w:basedOn w:val="Normal"/>
    <w:rsid w:val="00DD4916"/>
    <w:pPr>
      <w:spacing w:before="180" w:after="0" w:line="240" w:lineRule="auto"/>
      <w:ind w:left="1134" w:hanging="1134"/>
    </w:pPr>
    <w:rPr>
      <w:rFonts w:ascii="Times New Roman" w:eastAsia="Times New Roman" w:hAnsi="Times New Roman" w:cs="Times New Roman"/>
      <w:color w:val="auto"/>
      <w:sz w:val="22"/>
      <w:lang w:eastAsia="en-AU"/>
    </w:rPr>
  </w:style>
  <w:style w:type="paragraph" w:customStyle="1" w:styleId="paragraph">
    <w:name w:val="paragraph"/>
    <w:basedOn w:val="Normal"/>
    <w:rsid w:val="00DD4916"/>
    <w:pPr>
      <w:spacing w:before="40" w:after="0" w:line="240" w:lineRule="auto"/>
      <w:ind w:left="1644" w:hanging="1644"/>
    </w:pPr>
    <w:rPr>
      <w:rFonts w:ascii="Times New Roman" w:eastAsia="Times New Roman"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465781918">
      <w:bodyDiv w:val="1"/>
      <w:marLeft w:val="0"/>
      <w:marRight w:val="0"/>
      <w:marTop w:val="0"/>
      <w:marBottom w:val="0"/>
      <w:divBdr>
        <w:top w:val="none" w:sz="0" w:space="0" w:color="auto"/>
        <w:left w:val="none" w:sz="0" w:space="0" w:color="auto"/>
        <w:bottom w:val="none" w:sz="0" w:space="0" w:color="auto"/>
        <w:right w:val="none" w:sz="0" w:space="0" w:color="auto"/>
      </w:divBdr>
    </w:div>
    <w:div w:id="621620113">
      <w:bodyDiv w:val="1"/>
      <w:marLeft w:val="0"/>
      <w:marRight w:val="0"/>
      <w:marTop w:val="0"/>
      <w:marBottom w:val="0"/>
      <w:divBdr>
        <w:top w:val="none" w:sz="0" w:space="0" w:color="auto"/>
        <w:left w:val="none" w:sz="0" w:space="0" w:color="auto"/>
        <w:bottom w:val="none" w:sz="0" w:space="0" w:color="auto"/>
        <w:right w:val="none" w:sz="0" w:space="0" w:color="auto"/>
      </w:divBdr>
    </w:div>
    <w:div w:id="1664163337">
      <w:bodyDiv w:val="1"/>
      <w:marLeft w:val="0"/>
      <w:marRight w:val="0"/>
      <w:marTop w:val="0"/>
      <w:marBottom w:val="0"/>
      <w:divBdr>
        <w:top w:val="none" w:sz="0" w:space="0" w:color="auto"/>
        <w:left w:val="none" w:sz="0" w:space="0" w:color="auto"/>
        <w:bottom w:val="none" w:sz="0" w:space="0" w:color="auto"/>
        <w:right w:val="none" w:sz="0" w:space="0" w:color="auto"/>
      </w:divBdr>
    </w:div>
    <w:div w:id="1793093191">
      <w:bodyDiv w:val="1"/>
      <w:marLeft w:val="0"/>
      <w:marRight w:val="0"/>
      <w:marTop w:val="0"/>
      <w:marBottom w:val="0"/>
      <w:divBdr>
        <w:top w:val="none" w:sz="0" w:space="0" w:color="auto"/>
        <w:left w:val="none" w:sz="0" w:space="0" w:color="auto"/>
        <w:bottom w:val="none" w:sz="0" w:space="0" w:color="auto"/>
        <w:right w:val="none" w:sz="0" w:space="0" w:color="auto"/>
      </w:divBdr>
    </w:div>
    <w:div w:id="1844858244">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 w:id="1884558879">
      <w:bodyDiv w:val="1"/>
      <w:marLeft w:val="0"/>
      <w:marRight w:val="0"/>
      <w:marTop w:val="0"/>
      <w:marBottom w:val="0"/>
      <w:divBdr>
        <w:top w:val="none" w:sz="0" w:space="0" w:color="auto"/>
        <w:left w:val="none" w:sz="0" w:space="0" w:color="auto"/>
        <w:bottom w:val="none" w:sz="0" w:space="0" w:color="auto"/>
        <w:right w:val="none" w:sz="0" w:space="0" w:color="auto"/>
      </w:divBdr>
    </w:div>
    <w:div w:id="20013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0AEB-2619-4A24-9439-909B30D6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D02C31F0</Template>
  <TotalTime>0</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2</cp:revision>
  <cp:lastPrinted>2018-04-19T03:32:00Z</cp:lastPrinted>
  <dcterms:created xsi:type="dcterms:W3CDTF">2018-04-19T03:48:00Z</dcterms:created>
  <dcterms:modified xsi:type="dcterms:W3CDTF">2018-04-19T03:48:00Z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