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18517582" w:rsidR="001F3B7F" w:rsidRPr="00200EC2" w:rsidRDefault="005C536F" w:rsidP="00086498">
      <w:pPr>
        <w:pStyle w:val="Heading1"/>
        <w:rPr>
          <w:rFonts w:ascii="Arial" w:hAnsi="Arial"/>
          <w:sz w:val="22"/>
          <w:szCs w:val="22"/>
        </w:rPr>
        <w:sectPr w:rsidR="001F3B7F" w:rsidRPr="00200EC2" w:rsidSect="00A07144">
          <w:headerReference w:type="default" r:id="rId8"/>
          <w:footerReference w:type="default" r:id="rId9"/>
          <w:pgSz w:w="11906" w:h="16838"/>
          <w:pgMar w:top="1588" w:right="1440" w:bottom="2268" w:left="1440" w:header="0" w:footer="725" w:gutter="0"/>
          <w:cols w:space="708"/>
          <w:docGrid w:linePitch="360"/>
        </w:sectPr>
      </w:pPr>
      <w:r w:rsidRPr="00200EC2">
        <w:rPr>
          <w:rFonts w:ascii="Verdana" w:hAnsi="Verdana"/>
          <w:noProof/>
          <w:color w:val="333333"/>
          <w:sz w:val="22"/>
          <w:szCs w:val="22"/>
          <w:lang w:eastAsia="en-AU"/>
        </w:rPr>
        <w:drawing>
          <wp:anchor distT="0" distB="0" distL="114300" distR="114300" simplePos="0" relativeHeight="251661312" behindDoc="0" locked="0" layoutInCell="1" allowOverlap="1" wp14:anchorId="1DB6C0C4" wp14:editId="65D5E2A3">
            <wp:simplePos x="0" y="0"/>
            <wp:positionH relativeFrom="column">
              <wp:posOffset>3943350</wp:posOffset>
            </wp:positionH>
            <wp:positionV relativeFrom="paragraph">
              <wp:posOffset>210820</wp:posOffset>
            </wp:positionV>
            <wp:extent cx="1831340" cy="1393825"/>
            <wp:effectExtent l="0" t="0" r="0" b="0"/>
            <wp:wrapSquare wrapText="bothSides"/>
            <wp:docPr id="4" name="Picture 4" descr="Generation Ga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tion Gap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40" cy="1393825"/>
                    </a:xfrm>
                    <a:prstGeom prst="rect">
                      <a:avLst/>
                    </a:prstGeom>
                    <a:noFill/>
                    <a:ln>
                      <a:noFill/>
                    </a:ln>
                  </pic:spPr>
                </pic:pic>
              </a:graphicData>
            </a:graphic>
          </wp:anchor>
        </w:drawing>
      </w:r>
      <w:r w:rsidR="00D755D2" w:rsidRPr="00200EC2">
        <w:rPr>
          <w:rFonts w:ascii="Arial" w:hAnsi="Arial"/>
          <w:sz w:val="22"/>
          <w:szCs w:val="22"/>
        </w:rPr>
        <w:t>Equal Opportunity Training Video</w:t>
      </w:r>
      <w:r w:rsidR="000D1E70" w:rsidRPr="00200EC2">
        <w:rPr>
          <w:rFonts w:ascii="Arial" w:hAnsi="Arial"/>
          <w:sz w:val="22"/>
          <w:szCs w:val="22"/>
        </w:rPr>
        <w:t xml:space="preserve">             </w:t>
      </w:r>
    </w:p>
    <w:p w14:paraId="22F08A1B" w14:textId="7687650C" w:rsidR="00D755D2" w:rsidRPr="00D755D2" w:rsidRDefault="00086498" w:rsidP="00D755D2">
      <w:pPr>
        <w:pStyle w:val="Heading2"/>
      </w:pPr>
      <w:r>
        <w:t>Notes for training</w:t>
      </w:r>
    </w:p>
    <w:p w14:paraId="0E16F781" w14:textId="519C3603" w:rsidR="001167C5" w:rsidRPr="007F574A" w:rsidRDefault="001167C5" w:rsidP="001167C5">
      <w:pPr>
        <w:ind w:left="1695" w:hanging="1695"/>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5C536F" w14:paraId="5656D60F" w14:textId="77777777" w:rsidTr="00B130CD">
        <w:tc>
          <w:tcPr>
            <w:tcW w:w="7196" w:type="dxa"/>
          </w:tcPr>
          <w:p w14:paraId="5A49404C" w14:textId="77777777" w:rsidR="005C536F" w:rsidRDefault="005C536F" w:rsidP="005C536F">
            <w:pPr>
              <w:spacing w:before="120" w:after="240"/>
              <w:rPr>
                <w:rFonts w:cs="Arial"/>
                <w:b/>
                <w:color w:val="333399"/>
              </w:rPr>
            </w:pPr>
          </w:p>
        </w:tc>
        <w:tc>
          <w:tcPr>
            <w:tcW w:w="2977" w:type="dxa"/>
          </w:tcPr>
          <w:p w14:paraId="47348252" w14:textId="01842126" w:rsidR="005C536F" w:rsidRDefault="005C536F" w:rsidP="00B130CD">
            <w:pPr>
              <w:rPr>
                <w:rFonts w:ascii="Verdana" w:hAnsi="Verdana"/>
                <w:color w:val="333333"/>
                <w:sz w:val="17"/>
                <w:szCs w:val="17"/>
              </w:rPr>
            </w:pPr>
          </w:p>
          <w:p w14:paraId="44784E0B" w14:textId="45F07959" w:rsidR="005C536F" w:rsidRDefault="005C536F" w:rsidP="00B130CD"/>
        </w:tc>
      </w:tr>
    </w:tbl>
    <w:p w14:paraId="176FDCD8" w14:textId="5C674870" w:rsidR="005C536F" w:rsidRPr="00200EC2" w:rsidRDefault="00200EC2" w:rsidP="00200EC2">
      <w:pPr>
        <w:rPr>
          <w:rFonts w:cs="Arial"/>
          <w:b/>
          <w:color w:val="1F497D" w:themeColor="text2"/>
          <w:sz w:val="28"/>
          <w:szCs w:val="28"/>
        </w:rPr>
      </w:pPr>
      <w:r w:rsidRPr="00200EC2">
        <w:rPr>
          <w:rFonts w:cs="Arial"/>
          <w:sz w:val="22"/>
        </w:rPr>
        <w:t>This v</w:t>
      </w:r>
      <w:r w:rsidR="005C536F" w:rsidRPr="00200EC2">
        <w:rPr>
          <w:rFonts w:cs="Arial"/>
          <w:sz w:val="22"/>
        </w:rPr>
        <w:t>ideo provides an opportunity for discussing bullying, age discrimination, and the responsibility and practice of management.</w:t>
      </w:r>
    </w:p>
    <w:p w14:paraId="39780A9C" w14:textId="77777777" w:rsidR="005C536F" w:rsidRPr="00200EC2" w:rsidRDefault="005C536F" w:rsidP="005C536F">
      <w:pPr>
        <w:rPr>
          <w:rFonts w:cs="Arial"/>
          <w:sz w:val="22"/>
        </w:rPr>
      </w:pPr>
    </w:p>
    <w:p w14:paraId="4D3BC8BB" w14:textId="1637D8C6" w:rsidR="005C536F" w:rsidRPr="00200EC2" w:rsidRDefault="00200EC2" w:rsidP="005C536F">
      <w:pPr>
        <w:rPr>
          <w:rFonts w:cs="Arial"/>
          <w:b/>
          <w:color w:val="1F497D" w:themeColor="text2"/>
          <w:sz w:val="36"/>
          <w:szCs w:val="36"/>
        </w:rPr>
      </w:pPr>
      <w:r>
        <w:rPr>
          <w:rFonts w:cs="Arial"/>
          <w:b/>
          <w:color w:val="1F497D" w:themeColor="text2"/>
          <w:sz w:val="36"/>
          <w:szCs w:val="36"/>
        </w:rPr>
        <w:t xml:space="preserve">                                                               </w:t>
      </w:r>
      <w:r w:rsidRPr="00200EC2">
        <w:rPr>
          <w:rFonts w:cs="Arial"/>
          <w:b/>
          <w:color w:val="1F497D" w:themeColor="text2"/>
          <w:sz w:val="36"/>
          <w:szCs w:val="36"/>
        </w:rPr>
        <w:t>Generation Gap</w:t>
      </w:r>
    </w:p>
    <w:p w14:paraId="09908168" w14:textId="39E9F20D" w:rsidR="005C536F" w:rsidRPr="00200EC2" w:rsidRDefault="00200EC2" w:rsidP="005C536F">
      <w:pPr>
        <w:rPr>
          <w:rFonts w:cs="Arial"/>
          <w:b/>
          <w:color w:val="333399"/>
          <w:sz w:val="22"/>
        </w:rPr>
      </w:pPr>
      <w:r w:rsidRPr="00200EC2">
        <w:rPr>
          <w:rFonts w:cs="Arial"/>
          <w:b/>
          <w:color w:val="333399"/>
          <w:sz w:val="22"/>
        </w:rPr>
        <w:t>Questions:</w:t>
      </w:r>
    </w:p>
    <w:p w14:paraId="07C13399" w14:textId="77777777" w:rsidR="005C536F" w:rsidRPr="00200EC2" w:rsidRDefault="005C536F" w:rsidP="005C536F">
      <w:pPr>
        <w:rPr>
          <w:rFonts w:cs="Arial"/>
          <w:b/>
          <w:color w:val="333399"/>
          <w:sz w:val="22"/>
          <w:u w:val="single"/>
        </w:rPr>
      </w:pPr>
    </w:p>
    <w:p w14:paraId="19E52CA2" w14:textId="77777777" w:rsidR="005C536F" w:rsidRPr="00200EC2" w:rsidRDefault="005C536F" w:rsidP="005C536F">
      <w:pPr>
        <w:rPr>
          <w:rFonts w:cs="Arial"/>
          <w:sz w:val="22"/>
        </w:rPr>
      </w:pPr>
      <w:r w:rsidRPr="00200EC2">
        <w:rPr>
          <w:rFonts w:cs="Arial"/>
          <w:b/>
          <w:sz w:val="22"/>
        </w:rPr>
        <w:t>Question 1:</w:t>
      </w:r>
      <w:r w:rsidRPr="00200EC2">
        <w:rPr>
          <w:rFonts w:cs="Arial"/>
          <w:sz w:val="22"/>
        </w:rPr>
        <w:t xml:space="preserve"> What rights would John have if he complained to the Equal Opportunity Commission about the incident you’ve just seen?</w:t>
      </w:r>
    </w:p>
    <w:p w14:paraId="07EDF13C" w14:textId="77777777" w:rsidR="005C536F" w:rsidRPr="00200EC2" w:rsidRDefault="005C536F" w:rsidP="005C536F">
      <w:pPr>
        <w:rPr>
          <w:rFonts w:cs="Arial"/>
          <w:sz w:val="22"/>
        </w:rPr>
      </w:pPr>
    </w:p>
    <w:p w14:paraId="607ED843" w14:textId="610C9100" w:rsidR="005C536F" w:rsidRDefault="00200EC2" w:rsidP="005C536F">
      <w:pPr>
        <w:rPr>
          <w:rFonts w:cs="Arial"/>
          <w:sz w:val="22"/>
        </w:rPr>
      </w:pPr>
      <w:r>
        <w:rPr>
          <w:rFonts w:cs="Arial"/>
          <w:b/>
          <w:sz w:val="22"/>
        </w:rPr>
        <w:t>Question 2:</w:t>
      </w:r>
      <w:r w:rsidR="005C536F" w:rsidRPr="00200EC2">
        <w:rPr>
          <w:rFonts w:cs="Arial"/>
          <w:sz w:val="22"/>
        </w:rPr>
        <w:t xml:space="preserve"> What did you think about the appropriateness of the comments made by Angus and Maria to John?</w:t>
      </w:r>
    </w:p>
    <w:p w14:paraId="3A23A0B1" w14:textId="77777777" w:rsidR="00200EC2" w:rsidRPr="00200EC2" w:rsidRDefault="00200EC2" w:rsidP="005C536F">
      <w:pPr>
        <w:rPr>
          <w:rFonts w:cs="Arial"/>
          <w:sz w:val="22"/>
        </w:rPr>
      </w:pPr>
    </w:p>
    <w:p w14:paraId="7D3B5D73" w14:textId="77777777" w:rsidR="005C536F" w:rsidRPr="00200EC2" w:rsidRDefault="005C536F" w:rsidP="005C536F">
      <w:pPr>
        <w:rPr>
          <w:rFonts w:cs="Arial"/>
          <w:sz w:val="22"/>
        </w:rPr>
      </w:pPr>
      <w:r w:rsidRPr="00200EC2">
        <w:rPr>
          <w:rFonts w:cs="Arial"/>
          <w:b/>
          <w:sz w:val="22"/>
        </w:rPr>
        <w:t>Question 3:</w:t>
      </w:r>
      <w:r w:rsidRPr="00200EC2">
        <w:rPr>
          <w:rFonts w:cs="Arial"/>
          <w:sz w:val="22"/>
        </w:rPr>
        <w:t xml:space="preserve"> What responsibilities did the employer have in relation to removing John’s name from the safety training list?</w:t>
      </w:r>
    </w:p>
    <w:p w14:paraId="697D002F" w14:textId="77777777" w:rsidR="005C536F" w:rsidRPr="00200EC2" w:rsidRDefault="005C536F" w:rsidP="005C536F">
      <w:pPr>
        <w:rPr>
          <w:rFonts w:cs="Arial"/>
          <w:sz w:val="22"/>
        </w:rPr>
      </w:pPr>
    </w:p>
    <w:p w14:paraId="7B7CEB34" w14:textId="77777777" w:rsidR="005C536F" w:rsidRPr="00200EC2" w:rsidRDefault="005C536F" w:rsidP="005C536F">
      <w:pPr>
        <w:rPr>
          <w:rFonts w:cs="Arial"/>
          <w:sz w:val="22"/>
        </w:rPr>
      </w:pPr>
      <w:r w:rsidRPr="00200EC2">
        <w:rPr>
          <w:rFonts w:cs="Arial"/>
          <w:b/>
          <w:sz w:val="22"/>
        </w:rPr>
        <w:t>Question 4:</w:t>
      </w:r>
      <w:r w:rsidRPr="00200EC2">
        <w:rPr>
          <w:rFonts w:cs="Arial"/>
          <w:sz w:val="22"/>
        </w:rPr>
        <w:t xml:space="preserve"> Which of the issues John raised could be appropriately addressed at a staff meeting?</w:t>
      </w:r>
    </w:p>
    <w:p w14:paraId="02582BD2" w14:textId="77777777" w:rsidR="005C536F" w:rsidRPr="00200EC2" w:rsidRDefault="005C536F" w:rsidP="005C536F">
      <w:pPr>
        <w:rPr>
          <w:rFonts w:cs="Arial"/>
          <w:sz w:val="22"/>
        </w:rPr>
      </w:pPr>
    </w:p>
    <w:p w14:paraId="0B95C992" w14:textId="77777777" w:rsidR="005C536F" w:rsidRPr="00200EC2" w:rsidRDefault="005C536F" w:rsidP="005C536F">
      <w:pPr>
        <w:rPr>
          <w:rFonts w:cs="Arial"/>
          <w:sz w:val="22"/>
        </w:rPr>
      </w:pPr>
      <w:r w:rsidRPr="00200EC2">
        <w:rPr>
          <w:rFonts w:cs="Arial"/>
          <w:b/>
          <w:sz w:val="22"/>
        </w:rPr>
        <w:t>Question 5:</w:t>
      </w:r>
      <w:r w:rsidRPr="00200EC2">
        <w:rPr>
          <w:rFonts w:cs="Arial"/>
          <w:sz w:val="22"/>
        </w:rPr>
        <w:t xml:space="preserve"> What reasonable steps could this organisation take to prevent discrimination or harassment happening in future?</w:t>
      </w:r>
    </w:p>
    <w:p w14:paraId="0C6294F3" w14:textId="77777777" w:rsidR="005C536F" w:rsidRPr="00200EC2" w:rsidRDefault="005C536F" w:rsidP="005C536F">
      <w:pPr>
        <w:rPr>
          <w:rFonts w:cs="Arial"/>
          <w:sz w:val="22"/>
        </w:rPr>
      </w:pPr>
    </w:p>
    <w:p w14:paraId="4ADF6E2A" w14:textId="2093DAF7" w:rsidR="005C536F" w:rsidRDefault="005C536F" w:rsidP="005C536F">
      <w:pPr>
        <w:rPr>
          <w:rFonts w:cs="Arial"/>
          <w:sz w:val="22"/>
        </w:rPr>
      </w:pPr>
      <w:r w:rsidRPr="00200EC2">
        <w:rPr>
          <w:rFonts w:cs="Arial"/>
          <w:b/>
          <w:sz w:val="22"/>
        </w:rPr>
        <w:t>Question 6:</w:t>
      </w:r>
      <w:r w:rsidRPr="00200EC2">
        <w:rPr>
          <w:rFonts w:cs="Arial"/>
          <w:sz w:val="22"/>
        </w:rPr>
        <w:t xml:space="preserve"> Sounds like the culture in this organisation might need a shake up.  What role can managers play in this?</w:t>
      </w:r>
    </w:p>
    <w:p w14:paraId="6343EBC0" w14:textId="77777777" w:rsidR="00200EC2" w:rsidRPr="00200EC2" w:rsidRDefault="00200EC2" w:rsidP="005C536F">
      <w:pPr>
        <w:rPr>
          <w:rFonts w:cs="Arial"/>
          <w:sz w:val="22"/>
        </w:rPr>
      </w:pPr>
    </w:p>
    <w:p w14:paraId="131BFBE8" w14:textId="77777777" w:rsidR="00200EC2" w:rsidRDefault="00200EC2" w:rsidP="005C536F">
      <w:pPr>
        <w:rPr>
          <w:rFonts w:cs="Arial"/>
          <w:b/>
          <w:color w:val="333399"/>
          <w:sz w:val="22"/>
        </w:rPr>
      </w:pPr>
    </w:p>
    <w:p w14:paraId="339BA3D6" w14:textId="77777777" w:rsidR="00200EC2" w:rsidRDefault="00200EC2" w:rsidP="005C536F">
      <w:pPr>
        <w:rPr>
          <w:rFonts w:cs="Arial"/>
          <w:b/>
          <w:color w:val="333399"/>
          <w:sz w:val="22"/>
        </w:rPr>
      </w:pPr>
    </w:p>
    <w:p w14:paraId="74E91730" w14:textId="77777777" w:rsidR="00200EC2" w:rsidRDefault="00200EC2" w:rsidP="005C536F">
      <w:pPr>
        <w:rPr>
          <w:rFonts w:cs="Arial"/>
          <w:b/>
          <w:color w:val="333399"/>
          <w:sz w:val="22"/>
        </w:rPr>
      </w:pPr>
    </w:p>
    <w:p w14:paraId="2D2B9376" w14:textId="77777777" w:rsidR="00200EC2" w:rsidRDefault="00200EC2" w:rsidP="005C536F">
      <w:pPr>
        <w:rPr>
          <w:rFonts w:cs="Arial"/>
          <w:b/>
          <w:color w:val="333399"/>
          <w:sz w:val="22"/>
        </w:rPr>
      </w:pPr>
    </w:p>
    <w:p w14:paraId="7BC4D5A1" w14:textId="77777777" w:rsidR="00200EC2" w:rsidRDefault="00200EC2" w:rsidP="005C536F">
      <w:pPr>
        <w:rPr>
          <w:rFonts w:cs="Arial"/>
          <w:b/>
          <w:color w:val="333399"/>
          <w:sz w:val="22"/>
        </w:rPr>
      </w:pPr>
    </w:p>
    <w:p w14:paraId="78920B82" w14:textId="77777777" w:rsidR="005C536F" w:rsidRPr="00200EC2" w:rsidRDefault="005C536F" w:rsidP="005C536F">
      <w:pPr>
        <w:rPr>
          <w:rFonts w:cs="Arial"/>
          <w:b/>
          <w:color w:val="333399"/>
          <w:sz w:val="22"/>
        </w:rPr>
      </w:pPr>
      <w:r w:rsidRPr="00200EC2">
        <w:rPr>
          <w:rFonts w:cs="Arial"/>
          <w:b/>
          <w:color w:val="333399"/>
          <w:sz w:val="22"/>
        </w:rPr>
        <w:lastRenderedPageBreak/>
        <w:t>Ideas for training staff, managers (anyone in a supervisory position) or contact officers:</w:t>
      </w:r>
    </w:p>
    <w:p w14:paraId="15D07AA8" w14:textId="77777777" w:rsidR="005C536F" w:rsidRPr="00200EC2" w:rsidRDefault="005C536F" w:rsidP="005C536F">
      <w:pPr>
        <w:rPr>
          <w:rFonts w:cs="Arial"/>
          <w:sz w:val="22"/>
        </w:rPr>
      </w:pPr>
    </w:p>
    <w:p w14:paraId="15F007E3" w14:textId="77777777" w:rsidR="00200EC2" w:rsidRDefault="00200EC2" w:rsidP="005C536F">
      <w:pPr>
        <w:rPr>
          <w:rFonts w:cs="Arial"/>
          <w:b/>
          <w:sz w:val="22"/>
        </w:rPr>
      </w:pPr>
      <w:r>
        <w:rPr>
          <w:rFonts w:cs="Arial"/>
          <w:b/>
          <w:sz w:val="22"/>
        </w:rPr>
        <w:t>Staff</w:t>
      </w:r>
    </w:p>
    <w:p w14:paraId="1A01544A" w14:textId="346B4AA9" w:rsidR="005C536F" w:rsidRPr="00200EC2" w:rsidRDefault="005C536F" w:rsidP="00200EC2">
      <w:pPr>
        <w:pStyle w:val="ListParagraph"/>
        <w:numPr>
          <w:ilvl w:val="0"/>
          <w:numId w:val="14"/>
        </w:numPr>
        <w:rPr>
          <w:rFonts w:cs="Arial"/>
          <w:b/>
          <w:sz w:val="22"/>
        </w:rPr>
      </w:pPr>
      <w:r w:rsidRPr="00200EC2">
        <w:rPr>
          <w:rFonts w:cs="Arial"/>
          <w:sz w:val="22"/>
        </w:rPr>
        <w:t>Stop the video at the first break and ask the group whether any laws and or organisational policies have been affected by Maria and Angus’s behaviour towards John, as John was clearly offended by the comments made by Maria and Angus.</w:t>
      </w:r>
    </w:p>
    <w:p w14:paraId="400B6AC2" w14:textId="77777777" w:rsidR="005C536F" w:rsidRPr="00200EC2" w:rsidRDefault="005C536F" w:rsidP="005C536F">
      <w:pPr>
        <w:rPr>
          <w:rFonts w:cs="Arial"/>
          <w:sz w:val="22"/>
        </w:rPr>
      </w:pPr>
    </w:p>
    <w:p w14:paraId="110B6015" w14:textId="77777777" w:rsidR="005C536F" w:rsidRPr="00200EC2" w:rsidRDefault="005C536F" w:rsidP="00200EC2">
      <w:pPr>
        <w:pStyle w:val="ListParagraph"/>
        <w:numPr>
          <w:ilvl w:val="0"/>
          <w:numId w:val="14"/>
        </w:numPr>
        <w:rPr>
          <w:rFonts w:cs="Arial"/>
          <w:sz w:val="22"/>
        </w:rPr>
      </w:pPr>
      <w:r w:rsidRPr="00200EC2">
        <w:rPr>
          <w:rFonts w:cs="Arial"/>
          <w:sz w:val="22"/>
        </w:rPr>
        <w:t>Before showing the video test participant knowledge of age discrimination and bullying, and or your complaints process and after viewing the video revisit earlier points made by the group.</w:t>
      </w:r>
    </w:p>
    <w:p w14:paraId="7C71C3AB" w14:textId="77777777" w:rsidR="005C536F" w:rsidRPr="00200EC2" w:rsidRDefault="005C536F" w:rsidP="005C536F">
      <w:pPr>
        <w:rPr>
          <w:rFonts w:cs="Arial"/>
          <w:sz w:val="22"/>
        </w:rPr>
      </w:pPr>
    </w:p>
    <w:p w14:paraId="336C603F" w14:textId="77777777" w:rsidR="005C536F" w:rsidRPr="00200EC2" w:rsidRDefault="005C536F" w:rsidP="00200EC2">
      <w:pPr>
        <w:pStyle w:val="ListParagraph"/>
        <w:numPr>
          <w:ilvl w:val="0"/>
          <w:numId w:val="14"/>
        </w:numPr>
        <w:rPr>
          <w:rFonts w:cs="Arial"/>
          <w:sz w:val="22"/>
        </w:rPr>
      </w:pPr>
      <w:r w:rsidRPr="00200EC2">
        <w:rPr>
          <w:rFonts w:cs="Arial"/>
          <w:sz w:val="22"/>
        </w:rPr>
        <w:t>The scene is based on an actual complaint of age discrimination received at the Commission.  The complainant wanted the behaviours to change and the conciliation agreement included an apology and training for staff and managers.  Discuss your complaints procedure including external options.</w:t>
      </w:r>
    </w:p>
    <w:p w14:paraId="5FB524BB" w14:textId="77777777" w:rsidR="005C536F" w:rsidRPr="00200EC2" w:rsidRDefault="005C536F" w:rsidP="005C536F">
      <w:pPr>
        <w:rPr>
          <w:rFonts w:cs="Arial"/>
          <w:sz w:val="22"/>
        </w:rPr>
      </w:pPr>
    </w:p>
    <w:p w14:paraId="486353A9" w14:textId="792F3B6E" w:rsidR="005C536F" w:rsidRPr="00200EC2" w:rsidRDefault="005C536F" w:rsidP="005C536F">
      <w:pPr>
        <w:pStyle w:val="ListParagraph"/>
        <w:numPr>
          <w:ilvl w:val="0"/>
          <w:numId w:val="14"/>
        </w:numPr>
        <w:rPr>
          <w:rFonts w:cs="Arial"/>
          <w:sz w:val="22"/>
        </w:rPr>
      </w:pPr>
      <w:r w:rsidRPr="00200EC2">
        <w:rPr>
          <w:rFonts w:cs="Arial"/>
          <w:sz w:val="22"/>
        </w:rPr>
        <w:t>Use the questions from the package for discussing in groups after viewing the video.</w:t>
      </w:r>
    </w:p>
    <w:p w14:paraId="258D5103" w14:textId="77777777" w:rsidR="005C536F" w:rsidRPr="00200EC2" w:rsidRDefault="005C536F" w:rsidP="005C536F">
      <w:pPr>
        <w:rPr>
          <w:rFonts w:cs="Arial"/>
          <w:sz w:val="22"/>
        </w:rPr>
      </w:pPr>
    </w:p>
    <w:p w14:paraId="27EC32B0" w14:textId="2407F2F5" w:rsidR="005C536F" w:rsidRDefault="00200EC2" w:rsidP="005C536F">
      <w:pPr>
        <w:rPr>
          <w:rFonts w:cs="Arial"/>
          <w:b/>
          <w:sz w:val="22"/>
        </w:rPr>
      </w:pPr>
      <w:r>
        <w:rPr>
          <w:rFonts w:cs="Arial"/>
          <w:b/>
          <w:sz w:val="22"/>
        </w:rPr>
        <w:t>Managers</w:t>
      </w:r>
    </w:p>
    <w:p w14:paraId="60006E8E" w14:textId="77777777" w:rsidR="00200EC2" w:rsidRPr="00200EC2" w:rsidRDefault="00200EC2" w:rsidP="005C536F">
      <w:pPr>
        <w:rPr>
          <w:rFonts w:cs="Arial"/>
          <w:b/>
          <w:sz w:val="22"/>
        </w:rPr>
      </w:pPr>
    </w:p>
    <w:p w14:paraId="18599A9A" w14:textId="77777777" w:rsidR="00200EC2" w:rsidRDefault="005C536F" w:rsidP="005C536F">
      <w:pPr>
        <w:pStyle w:val="ListParagraph"/>
        <w:numPr>
          <w:ilvl w:val="0"/>
          <w:numId w:val="15"/>
        </w:numPr>
        <w:rPr>
          <w:rFonts w:cs="Arial"/>
          <w:sz w:val="22"/>
        </w:rPr>
      </w:pPr>
      <w:r w:rsidRPr="00200EC2">
        <w:rPr>
          <w:rFonts w:cs="Arial"/>
          <w:sz w:val="22"/>
        </w:rPr>
        <w:t>The video presents an opportunity to discuss Carmel’s response to John.  When is a staff meeting appropriate to deal with an issue and when is a meeting with staff concerned a better approach?</w:t>
      </w:r>
    </w:p>
    <w:p w14:paraId="712DFBDA" w14:textId="77777777" w:rsidR="00200EC2" w:rsidRDefault="00200EC2" w:rsidP="00200EC2">
      <w:pPr>
        <w:pStyle w:val="ListParagraph"/>
        <w:ind w:left="360"/>
        <w:rPr>
          <w:rFonts w:cs="Arial"/>
          <w:sz w:val="22"/>
        </w:rPr>
      </w:pPr>
    </w:p>
    <w:p w14:paraId="353F798E" w14:textId="77777777" w:rsidR="00200EC2" w:rsidRDefault="005C536F" w:rsidP="005C536F">
      <w:pPr>
        <w:pStyle w:val="ListParagraph"/>
        <w:numPr>
          <w:ilvl w:val="0"/>
          <w:numId w:val="15"/>
        </w:numPr>
        <w:rPr>
          <w:rFonts w:cs="Arial"/>
          <w:sz w:val="22"/>
        </w:rPr>
      </w:pPr>
      <w:r w:rsidRPr="00200EC2">
        <w:rPr>
          <w:rFonts w:cs="Arial"/>
          <w:sz w:val="22"/>
        </w:rPr>
        <w:t>You might ask managers the question: “If John came to you with his concerns, what would you do differently from Carmel?  What are better ways for handling this situation?</w:t>
      </w:r>
    </w:p>
    <w:p w14:paraId="76528AC5" w14:textId="77777777" w:rsidR="00200EC2" w:rsidRPr="00200EC2" w:rsidRDefault="00200EC2" w:rsidP="00200EC2">
      <w:pPr>
        <w:pStyle w:val="ListParagraph"/>
        <w:rPr>
          <w:rFonts w:cs="Arial"/>
          <w:sz w:val="22"/>
        </w:rPr>
      </w:pPr>
    </w:p>
    <w:p w14:paraId="7FBEE9DF" w14:textId="77777777" w:rsidR="00200EC2" w:rsidRDefault="005C536F" w:rsidP="005C536F">
      <w:pPr>
        <w:pStyle w:val="ListParagraph"/>
        <w:numPr>
          <w:ilvl w:val="0"/>
          <w:numId w:val="15"/>
        </w:numPr>
        <w:rPr>
          <w:rFonts w:cs="Arial"/>
          <w:sz w:val="22"/>
        </w:rPr>
      </w:pPr>
      <w:r w:rsidRPr="00200EC2">
        <w:rPr>
          <w:rFonts w:cs="Arial"/>
          <w:sz w:val="22"/>
        </w:rPr>
        <w:t>Discuss Maria and Angus’s behaviour towards John and how this relates to your policy or code of conduct.</w:t>
      </w:r>
    </w:p>
    <w:p w14:paraId="75929627" w14:textId="77777777" w:rsidR="00200EC2" w:rsidRPr="00200EC2" w:rsidRDefault="00200EC2" w:rsidP="00200EC2">
      <w:pPr>
        <w:pStyle w:val="ListParagraph"/>
        <w:rPr>
          <w:rFonts w:cs="Arial"/>
          <w:sz w:val="22"/>
        </w:rPr>
      </w:pPr>
    </w:p>
    <w:p w14:paraId="51E91539" w14:textId="77777777" w:rsidR="00200EC2" w:rsidRDefault="005C536F" w:rsidP="005C536F">
      <w:pPr>
        <w:pStyle w:val="ListParagraph"/>
        <w:numPr>
          <w:ilvl w:val="0"/>
          <w:numId w:val="15"/>
        </w:numPr>
        <w:rPr>
          <w:rFonts w:cs="Arial"/>
          <w:sz w:val="22"/>
        </w:rPr>
      </w:pPr>
      <w:r w:rsidRPr="00200EC2">
        <w:rPr>
          <w:rFonts w:cs="Arial"/>
          <w:sz w:val="22"/>
        </w:rPr>
        <w:t>Role play how to manage a discussion with Maria and Angus regarding their behaviour or a discussion with John on his value to the team, this will support managers in developing skills to handle such situations.</w:t>
      </w:r>
    </w:p>
    <w:p w14:paraId="31131D12" w14:textId="77777777" w:rsidR="00200EC2" w:rsidRPr="00200EC2" w:rsidRDefault="00200EC2" w:rsidP="00200EC2">
      <w:pPr>
        <w:pStyle w:val="ListParagraph"/>
        <w:rPr>
          <w:rFonts w:cs="Arial"/>
          <w:sz w:val="22"/>
        </w:rPr>
      </w:pPr>
    </w:p>
    <w:p w14:paraId="75654B61" w14:textId="75E0185A" w:rsidR="005C536F" w:rsidRPr="00200EC2" w:rsidRDefault="005C536F" w:rsidP="005C536F">
      <w:pPr>
        <w:pStyle w:val="ListParagraph"/>
        <w:numPr>
          <w:ilvl w:val="0"/>
          <w:numId w:val="15"/>
        </w:numPr>
        <w:rPr>
          <w:rFonts w:cs="Arial"/>
          <w:sz w:val="22"/>
        </w:rPr>
      </w:pPr>
      <w:r w:rsidRPr="00200EC2">
        <w:rPr>
          <w:rFonts w:cs="Arial"/>
          <w:sz w:val="22"/>
        </w:rPr>
        <w:t>Discuss the benefits of older workers and managing different generations within the team.</w:t>
      </w:r>
    </w:p>
    <w:p w14:paraId="39CBA47F" w14:textId="77777777" w:rsidR="00200EC2" w:rsidRDefault="00200EC2" w:rsidP="005C536F">
      <w:pPr>
        <w:rPr>
          <w:rFonts w:cs="Arial"/>
          <w:sz w:val="22"/>
        </w:rPr>
      </w:pPr>
    </w:p>
    <w:p w14:paraId="547270E1" w14:textId="77777777" w:rsidR="00200EC2" w:rsidRDefault="00200EC2" w:rsidP="005C536F">
      <w:pPr>
        <w:rPr>
          <w:rFonts w:cs="Arial"/>
          <w:b/>
          <w:sz w:val="22"/>
        </w:rPr>
      </w:pPr>
    </w:p>
    <w:p w14:paraId="45615249" w14:textId="77777777" w:rsidR="00200EC2" w:rsidRDefault="00200EC2" w:rsidP="005C536F">
      <w:pPr>
        <w:rPr>
          <w:rFonts w:cs="Arial"/>
          <w:b/>
          <w:sz w:val="22"/>
        </w:rPr>
      </w:pPr>
    </w:p>
    <w:p w14:paraId="419E9F99" w14:textId="77777777" w:rsidR="00200EC2" w:rsidRDefault="00200EC2" w:rsidP="005C536F">
      <w:pPr>
        <w:rPr>
          <w:rFonts w:cs="Arial"/>
          <w:b/>
          <w:sz w:val="22"/>
        </w:rPr>
      </w:pPr>
    </w:p>
    <w:p w14:paraId="5ADB8CB9" w14:textId="77777777" w:rsidR="005C536F" w:rsidRPr="00200EC2" w:rsidRDefault="005C536F" w:rsidP="005C536F">
      <w:pPr>
        <w:rPr>
          <w:rFonts w:cs="Arial"/>
          <w:b/>
          <w:sz w:val="22"/>
        </w:rPr>
      </w:pPr>
      <w:r w:rsidRPr="00200EC2">
        <w:rPr>
          <w:rFonts w:cs="Arial"/>
          <w:b/>
          <w:sz w:val="22"/>
        </w:rPr>
        <w:lastRenderedPageBreak/>
        <w:t>Contact Officers</w:t>
      </w:r>
    </w:p>
    <w:p w14:paraId="33B2738B" w14:textId="77777777" w:rsidR="005C536F" w:rsidRPr="00200EC2" w:rsidRDefault="005C536F" w:rsidP="005C536F">
      <w:pPr>
        <w:rPr>
          <w:rFonts w:cs="Arial"/>
          <w:sz w:val="22"/>
        </w:rPr>
      </w:pPr>
    </w:p>
    <w:p w14:paraId="1195C954" w14:textId="77777777" w:rsidR="00200EC2" w:rsidRDefault="005C536F" w:rsidP="005C536F">
      <w:pPr>
        <w:pStyle w:val="ListParagraph"/>
        <w:numPr>
          <w:ilvl w:val="0"/>
          <w:numId w:val="16"/>
        </w:numPr>
        <w:rPr>
          <w:rFonts w:cs="Arial"/>
          <w:sz w:val="22"/>
        </w:rPr>
      </w:pPr>
      <w:r w:rsidRPr="00200EC2">
        <w:rPr>
          <w:rFonts w:cs="Arial"/>
          <w:sz w:val="22"/>
        </w:rPr>
        <w:t>Small group exercise inviting contact officers to describe how they would interview John if he had approached one of them or have this activity as a role play.</w:t>
      </w:r>
    </w:p>
    <w:p w14:paraId="0F9153F1" w14:textId="77777777" w:rsidR="00200EC2" w:rsidRDefault="00200EC2" w:rsidP="00200EC2">
      <w:pPr>
        <w:pStyle w:val="ListParagraph"/>
        <w:ind w:left="360"/>
        <w:rPr>
          <w:rFonts w:cs="Arial"/>
          <w:sz w:val="22"/>
        </w:rPr>
      </w:pPr>
    </w:p>
    <w:p w14:paraId="1C319301" w14:textId="2939ECD9" w:rsidR="005C536F" w:rsidRPr="00200EC2" w:rsidRDefault="005C536F" w:rsidP="005C536F">
      <w:pPr>
        <w:pStyle w:val="ListParagraph"/>
        <w:numPr>
          <w:ilvl w:val="0"/>
          <w:numId w:val="16"/>
        </w:numPr>
        <w:rPr>
          <w:rFonts w:cs="Arial"/>
          <w:sz w:val="22"/>
        </w:rPr>
      </w:pPr>
      <w:r w:rsidRPr="00200EC2">
        <w:rPr>
          <w:rFonts w:cs="Arial"/>
          <w:sz w:val="22"/>
        </w:rPr>
        <w:t>Discuss how a contact officer can support</w:t>
      </w:r>
      <w:r w:rsidR="00200EC2">
        <w:rPr>
          <w:rFonts w:cs="Arial"/>
          <w:sz w:val="22"/>
        </w:rPr>
        <w:t xml:space="preserve"> staff with self-</w:t>
      </w:r>
      <w:r w:rsidRPr="00200EC2">
        <w:rPr>
          <w:rFonts w:cs="Arial"/>
          <w:sz w:val="22"/>
        </w:rPr>
        <w:t>help.</w:t>
      </w:r>
    </w:p>
    <w:p w14:paraId="75F162B6" w14:textId="173EC25E" w:rsidR="00076F51" w:rsidRPr="000D1E70" w:rsidRDefault="00076F51" w:rsidP="001167C5">
      <w:pPr>
        <w:tabs>
          <w:tab w:val="left" w:pos="1134"/>
        </w:tabs>
        <w:spacing w:line="240" w:lineRule="auto"/>
        <w:ind w:left="1134" w:hanging="1134"/>
        <w:rPr>
          <w:rFonts w:cs="Arial"/>
          <w:sz w:val="22"/>
        </w:rPr>
      </w:pPr>
      <w:bookmarkStart w:id="0" w:name="_GoBack"/>
      <w:bookmarkEnd w:id="0"/>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0FEB" w14:textId="77777777" w:rsidR="00A14165" w:rsidRDefault="00A14165" w:rsidP="00FD7A39">
      <w:pPr>
        <w:spacing w:after="0" w:line="240" w:lineRule="auto"/>
      </w:pPr>
      <w:r>
        <w:separator/>
      </w:r>
    </w:p>
  </w:endnote>
  <w:endnote w:type="continuationSeparator" w:id="0">
    <w:p w14:paraId="692C0E07" w14:textId="77777777" w:rsidR="00A14165" w:rsidRDefault="00A14165"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2A67F2">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0C6BD" w14:textId="77777777" w:rsidR="00A14165" w:rsidRDefault="00A14165" w:rsidP="00FD7A39">
      <w:pPr>
        <w:spacing w:after="0" w:line="240" w:lineRule="auto"/>
      </w:pPr>
      <w:r>
        <w:separator/>
      </w:r>
    </w:p>
  </w:footnote>
  <w:footnote w:type="continuationSeparator" w:id="0">
    <w:p w14:paraId="679C61D3" w14:textId="77777777" w:rsidR="00A14165" w:rsidRDefault="00A14165"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5" name="Picture 5"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AF2"/>
    <w:multiLevelType w:val="hybridMultilevel"/>
    <w:tmpl w:val="B298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361BF"/>
    <w:multiLevelType w:val="hybridMultilevel"/>
    <w:tmpl w:val="50E60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5C08C4"/>
    <w:multiLevelType w:val="hybridMultilevel"/>
    <w:tmpl w:val="1170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4"/>
  </w:num>
  <w:num w:numId="6">
    <w:abstractNumId w:val="5"/>
  </w:num>
  <w:num w:numId="7">
    <w:abstractNumId w:val="14"/>
  </w:num>
  <w:num w:numId="8">
    <w:abstractNumId w:val="12"/>
  </w:num>
  <w:num w:numId="9">
    <w:abstractNumId w:val="2"/>
  </w:num>
  <w:num w:numId="10">
    <w:abstractNumId w:val="13"/>
  </w:num>
  <w:num w:numId="11">
    <w:abstractNumId w:val="3"/>
  </w:num>
  <w:num w:numId="12">
    <w:abstractNumId w:val="7"/>
  </w:num>
  <w:num w:numId="13">
    <w:abstractNumId w:val="6"/>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00EC2"/>
    <w:rsid w:val="00240E36"/>
    <w:rsid w:val="002545CD"/>
    <w:rsid w:val="00255D1E"/>
    <w:rsid w:val="00291A98"/>
    <w:rsid w:val="002A67F2"/>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C536F"/>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93BA8"/>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14165"/>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 w:type="character" w:styleId="Strong">
    <w:name w:val="Strong"/>
    <w:basedOn w:val="DefaultParagraphFont"/>
    <w:qFormat/>
    <w:rsid w:val="005C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F0AA-9609-41C2-9540-815BD72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396E40B0</Template>
  <TotalTime>4</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4</cp:revision>
  <cp:lastPrinted>2018-02-26T23:19:00Z</cp:lastPrinted>
  <dcterms:created xsi:type="dcterms:W3CDTF">2018-04-17T07:13:00Z</dcterms:created>
  <dcterms:modified xsi:type="dcterms:W3CDTF">2018-06-01T06:04:00Z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